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pageBreakBefore w:val="0"/>
        <w:widowControl w:val="0"/>
        <w:kinsoku/>
        <w:wordWrap/>
        <w:overflowPunct w:val="0"/>
        <w:topLinePunct w:val="0"/>
        <w:autoSpaceDE/>
        <w:autoSpaceDN/>
        <w:bidi w:val="0"/>
        <w:adjustRightInd w:val="0"/>
        <w:snapToGrid w:val="0"/>
        <w:spacing w:after="0" w:line="560" w:lineRule="exact"/>
        <w:ind w:left="0" w:leftChars="0" w:firstLine="0" w:firstLineChars="0"/>
        <w:jc w:val="center"/>
        <w:textAlignment w:val="auto"/>
        <w:rPr>
          <w:rFonts w:hint="eastAsia" w:ascii="方正小标宋简体" w:hAnsi="仿宋_GB2312" w:eastAsia="方正小标宋简体" w:cs="仿宋_GB2312"/>
          <w:sz w:val="44"/>
          <w:szCs w:val="44"/>
        </w:rPr>
      </w:pP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2024年“促进经济巩固向好、加快绿色低碳</w:t>
      </w:r>
      <w:r>
        <w:rPr>
          <w:rFonts w:hint="eastAsia" w:ascii="方正小标宋简体" w:hAnsi="方正小标宋简体" w:eastAsia="方正小标宋简体" w:cs="方正小标宋简体"/>
          <w:sz w:val="44"/>
          <w:szCs w:val="44"/>
          <w:lang w:eastAsia="zh-CN"/>
        </w:rPr>
        <w:t>高质量</w:t>
      </w:r>
      <w:r>
        <w:rPr>
          <w:rFonts w:hint="eastAsia" w:ascii="方正小标宋简体" w:hAnsi="方正小标宋简体" w:eastAsia="方正小标宋简体" w:cs="方正小标宋简体"/>
          <w:sz w:val="44"/>
          <w:szCs w:val="44"/>
        </w:rPr>
        <w:t>发展”政策清单（第</w:t>
      </w:r>
      <w:r>
        <w:rPr>
          <w:rFonts w:hint="eastAsia" w:ascii="方正小标宋简体" w:hAnsi="方正小标宋简体" w:eastAsia="方正小标宋简体" w:cs="方正小标宋简体"/>
          <w:sz w:val="44"/>
          <w:szCs w:val="44"/>
          <w:lang w:eastAsia="zh-CN"/>
        </w:rPr>
        <w:t>二</w:t>
      </w:r>
      <w:r>
        <w:rPr>
          <w:rFonts w:hint="eastAsia" w:ascii="方正小标宋简体" w:hAnsi="方正小标宋简体" w:eastAsia="方正小标宋简体" w:cs="方正小标宋简体"/>
          <w:sz w:val="44"/>
          <w:szCs w:val="44"/>
        </w:rPr>
        <w:t>批）</w:t>
      </w:r>
      <w:r>
        <w:rPr>
          <w:rFonts w:hint="eastAsia" w:ascii="方正小标宋简体" w:hAnsi="方正小标宋简体" w:eastAsia="方正小标宋简体" w:cs="方正小标宋简体"/>
          <w:sz w:val="44"/>
          <w:szCs w:val="44"/>
          <w:lang w:eastAsia="zh-CN"/>
        </w:rPr>
        <w:t>》</w:t>
      </w:r>
      <w:r>
        <w:rPr>
          <w:rFonts w:hint="eastAsia" w:ascii="方正小标宋简体" w:hAnsi="仿宋_GB2312" w:eastAsia="方正小标宋简体" w:cs="仿宋_GB2312"/>
          <w:sz w:val="44"/>
          <w:szCs w:val="44"/>
        </w:rPr>
        <w:t>政策解读</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eastAsia" w:ascii="楷体_GB2312" w:hAnsi="楷体_GB2312" w:eastAsia="楷体_GB2312" w:cs="楷体_GB2312"/>
          <w:sz w:val="32"/>
          <w:szCs w:val="40"/>
          <w:lang w:val="en-US" w:eastAsia="zh-CN"/>
        </w:rPr>
      </w:pPr>
      <w:r>
        <w:rPr>
          <w:rFonts w:hint="eastAsia" w:ascii="楷体_GB2312" w:hAnsi="楷体_GB2312" w:eastAsia="楷体_GB2312" w:cs="楷体_GB2312"/>
          <w:sz w:val="32"/>
          <w:szCs w:val="40"/>
          <w:lang w:val="en-US" w:eastAsia="zh-CN"/>
        </w:rPr>
        <w:t>市交通运输局</w:t>
      </w:r>
    </w:p>
    <w:p>
      <w:pPr>
        <w:pStyle w:val="2"/>
        <w:keepNext w:val="0"/>
        <w:keepLines w:val="0"/>
        <w:pageBreakBefore w:val="0"/>
        <w:kinsoku/>
        <w:wordWrap/>
        <w:topLinePunct w:val="0"/>
        <w:autoSpaceDE/>
        <w:autoSpaceDN/>
        <w:bidi w:val="0"/>
        <w:spacing w:line="560" w:lineRule="exact"/>
        <w:textAlignment w:val="auto"/>
        <w:rPr>
          <w:rFonts w:hint="default"/>
          <w:lang w:val="en-US" w:eastAsia="zh-CN"/>
        </w:rPr>
      </w:pPr>
    </w:p>
    <w:p>
      <w:pPr>
        <w:pStyle w:val="7"/>
        <w:keepNext w:val="0"/>
        <w:keepLines w:val="0"/>
        <w:pageBreakBefore w:val="0"/>
        <w:widowControl w:val="0"/>
        <w:kinsoku/>
        <w:wordWrap/>
        <w:overflowPunct w:val="0"/>
        <w:topLinePunct w:val="0"/>
        <w:autoSpaceDE/>
        <w:autoSpaceDN/>
        <w:bidi w:val="0"/>
        <w:adjustRightInd w:val="0"/>
        <w:snapToGrid w:val="0"/>
        <w:spacing w:after="0" w:line="560" w:lineRule="exact"/>
        <w:ind w:left="0" w:leftChars="0" w:firstLine="0" w:firstLineChars="0"/>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水运方面</w:t>
      </w:r>
    </w:p>
    <w:p>
      <w:pPr>
        <w:pStyle w:val="6"/>
        <w:keepNext w:val="0"/>
        <w:keepLines w:val="0"/>
        <w:pageBreakBefore w:val="0"/>
        <w:kinsoku/>
        <w:wordWrap/>
        <w:topLinePunct w:val="0"/>
        <w:autoSpaceDE/>
        <w:autoSpaceDN/>
        <w:bidi w:val="0"/>
        <w:spacing w:line="560" w:lineRule="exact"/>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lang w:val="en-US" w:eastAsia="zh-CN"/>
        </w:rPr>
      </w:pPr>
      <w:r>
        <w:rPr>
          <w:rFonts w:hint="eastAsia" w:ascii="仿宋_GB2312" w:eastAsia="仿宋_GB2312" w:cs="Times New Roman"/>
          <w:sz w:val="32"/>
          <w:szCs w:val="32"/>
          <w:lang w:val="en-US" w:eastAsia="zh-CN"/>
        </w:rPr>
        <w:t>第二批政策清单中涉及交通运输的共有</w:t>
      </w:r>
      <w:r>
        <w:rPr>
          <w:rFonts w:hint="eastAsia" w:ascii="Times New Roman" w:hAnsi="Times New Roman" w:eastAsia="仿宋_GB2312" w:cs="Times New Roman"/>
          <w:sz w:val="32"/>
          <w:szCs w:val="32"/>
          <w:lang w:val="en-US" w:eastAsia="zh-CN"/>
        </w:rPr>
        <w:t>5</w:t>
      </w:r>
      <w:r>
        <w:rPr>
          <w:rFonts w:hint="eastAsia" w:ascii="仿宋_GB2312" w:eastAsia="仿宋_GB2312" w:cs="Times New Roman"/>
          <w:sz w:val="32"/>
          <w:szCs w:val="32"/>
          <w:lang w:val="en-US" w:eastAsia="zh-CN"/>
        </w:rPr>
        <w:t>项。</w:t>
      </w:r>
    </w:p>
    <w:p>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一、第一项是第7条</w:t>
      </w:r>
    </w:p>
    <w:p>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第</w:t>
      </w:r>
      <w:r>
        <w:rPr>
          <w:rFonts w:hint="default" w:ascii="Times New Roman" w:hAnsi="Times New Roman" w:eastAsia="仿宋_GB2312" w:cs="Times New Roman"/>
          <w:b/>
          <w:bCs/>
          <w:sz w:val="32"/>
          <w:szCs w:val="32"/>
          <w:lang w:val="en-US" w:eastAsia="zh-CN"/>
        </w:rPr>
        <w:t>7条：2024-2025</w:t>
      </w:r>
      <w:r>
        <w:rPr>
          <w:rFonts w:hint="eastAsia" w:ascii="仿宋_GB2312" w:hAnsi="仿宋_GB2312" w:eastAsia="仿宋_GB2312" w:cs="仿宋_GB2312"/>
          <w:b/>
          <w:bCs/>
          <w:sz w:val="32"/>
          <w:szCs w:val="32"/>
          <w:lang w:val="en-US" w:eastAsia="zh-CN"/>
        </w:rPr>
        <w:t>年，省级筹集资金，支持内河和沿海高耗能高排放老旧运输船舶提前报废拆解以及新能源、清洁能源船舶建造，对符合条件的航运企业给予一次性定额补助。</w:t>
      </w:r>
      <w:r>
        <w:rPr>
          <w:rFonts w:hint="eastAsia" w:ascii="楷体_GB2312" w:hAnsi="楷体_GB2312" w:eastAsia="楷体_GB2312" w:cs="楷体_GB2312"/>
          <w:b/>
          <w:bCs/>
          <w:sz w:val="32"/>
          <w:szCs w:val="32"/>
          <w:lang w:val="en-US" w:eastAsia="zh-CN"/>
        </w:rPr>
        <w:t>（牵头单位：省交通运输厅、省财政厅）</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目</w:t>
      </w:r>
      <w:r>
        <w:rPr>
          <w:rFonts w:hint="eastAsia" w:ascii="仿宋_GB2312" w:eastAsia="仿宋_GB2312" w:cs="Times New Roman"/>
          <w:sz w:val="32"/>
          <w:szCs w:val="32"/>
        </w:rPr>
        <w:t>前</w:t>
      </w:r>
      <w:r>
        <w:rPr>
          <w:rFonts w:hint="eastAsia" w:ascii="仿宋_GB2312" w:eastAsia="仿宋_GB2312" w:cs="Times New Roman"/>
          <w:sz w:val="32"/>
          <w:szCs w:val="32"/>
          <w:lang w:val="en-US" w:eastAsia="zh-CN"/>
        </w:rPr>
        <w:t>沿海船舶共有</w:t>
      </w:r>
      <w:r>
        <w:rPr>
          <w:rFonts w:hint="default" w:ascii="Times New Roman" w:hAnsi="Times New Roman" w:eastAsia="仿宋_GB2312" w:cs="Times New Roman"/>
          <w:sz w:val="32"/>
          <w:szCs w:val="32"/>
          <w:lang w:val="en-US" w:eastAsia="zh-CN"/>
        </w:rPr>
        <w:t>132艘，前期，我局对全市船舶进行摸底，总的看，近年来，我省通过推行客运船舶运力更新等措施，我市主要客运航线船龄结构合理。经综合研判，预计船龄在20年以上的客船以及报废年限在10</w:t>
      </w:r>
      <w:r>
        <w:rPr>
          <w:rFonts w:hint="eastAsia" w:ascii="仿宋_GB2312" w:eastAsia="仿宋_GB2312" w:cs="Times New Roman"/>
          <w:sz w:val="32"/>
          <w:szCs w:val="32"/>
          <w:lang w:val="en-US" w:eastAsia="zh-CN"/>
        </w:rPr>
        <w:t>年（含）以内的海船经营主体具有一定更新意愿。</w:t>
      </w:r>
    </w:p>
    <w:p>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bCs/>
          <w:sz w:val="32"/>
          <w:szCs w:val="32"/>
          <w:lang w:val="en-US" w:eastAsia="zh-CN"/>
        </w:rPr>
        <w:t>关于申报。</w:t>
      </w:r>
      <w:r>
        <w:rPr>
          <w:rFonts w:hint="eastAsia" w:ascii="仿宋_GB2312" w:hAnsi="仿宋_GB2312" w:eastAsia="仿宋_GB2312" w:cs="仿宋_GB2312"/>
          <w:sz w:val="32"/>
          <w:szCs w:val="32"/>
          <w:lang w:val="en-US" w:eastAsia="zh-CN"/>
        </w:rPr>
        <w:t>经积极与山东省交通运输厅对接，交通运输部将出台高耗能高排放老旧运输船舶提前报废拆解以及新能源、清洁能源船舶建造补贴方案，</w:t>
      </w:r>
      <w:r>
        <w:rPr>
          <w:rFonts w:hint="eastAsia" w:ascii="仿宋_GB2312" w:hAnsi="仿宋_GB2312" w:eastAsia="仿宋_GB2312" w:cs="仿宋_GB2312"/>
          <w:b w:val="0"/>
          <w:bCs w:val="0"/>
          <w:color w:val="auto"/>
          <w:kern w:val="2"/>
          <w:sz w:val="32"/>
          <w:szCs w:val="32"/>
          <w:lang w:val="en-US" w:eastAsia="zh-CN" w:bidi="ar-SA"/>
        </w:rPr>
        <w:t>下一步，山东省交通运输厅将聚焦老旧运输船舶更新换代，通过省级筹集资金，对符合条件的航运企业给予一次性定额补助。重点鼓励高耗能高排放老旧运输船舶提前报废拆解，支持新能源、清洁能源船舶建造，优化船舶运力结构，促进智能化、绿色化发展，提升山东航运业运输保障能力和竞争力。目前，山东省交通运输厅正在加紧制定老旧运输船舶淘汰实施方案，进一步明确补贴范围、条件、标准，有计划地逐年推进，确保取得实效。具体实施细则印发之后，将按要求组织进行申报。</w:t>
      </w:r>
    </w:p>
    <w:p>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二、第二项、第三项分别是第</w:t>
      </w:r>
      <w:r>
        <w:rPr>
          <w:rFonts w:hint="default" w:ascii="Times New Roman" w:hAnsi="Times New Roman" w:eastAsia="黑体" w:cs="Times New Roman"/>
          <w:b w:val="0"/>
          <w:bCs w:val="0"/>
          <w:sz w:val="32"/>
          <w:szCs w:val="32"/>
          <w:lang w:val="en-US" w:eastAsia="zh-CN"/>
        </w:rPr>
        <w:t>8条、第25</w:t>
      </w:r>
      <w:r>
        <w:rPr>
          <w:rFonts w:hint="eastAsia" w:ascii="黑体" w:hAnsi="黑体" w:eastAsia="黑体" w:cs="黑体"/>
          <w:b w:val="0"/>
          <w:bCs w:val="0"/>
          <w:sz w:val="32"/>
          <w:szCs w:val="32"/>
          <w:lang w:val="en-US" w:eastAsia="zh-CN"/>
        </w:rPr>
        <w:t>条</w:t>
      </w:r>
    </w:p>
    <w:p>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楷体_GB2312" w:hAnsi="楷体_GB2312" w:eastAsia="楷体_GB2312" w:cs="楷体_GB2312"/>
          <w:b/>
          <w:bCs/>
          <w:sz w:val="32"/>
          <w:szCs w:val="32"/>
          <w:lang w:val="en-US" w:eastAsia="zh-CN"/>
        </w:rPr>
      </w:pPr>
      <w:r>
        <w:rPr>
          <w:rFonts w:hint="eastAsia" w:ascii="仿宋_GB2312" w:hAnsi="仿宋_GB2312" w:eastAsia="仿宋_GB2312" w:cs="仿宋_GB2312"/>
          <w:b/>
          <w:bCs/>
          <w:sz w:val="32"/>
          <w:szCs w:val="32"/>
          <w:lang w:val="en-US" w:eastAsia="zh-CN"/>
        </w:rPr>
        <w:t>第</w:t>
      </w:r>
      <w:r>
        <w:rPr>
          <w:rFonts w:hint="default" w:ascii="Times New Roman" w:hAnsi="Times New Roman" w:eastAsia="仿宋_GB2312" w:cs="Times New Roman"/>
          <w:b/>
          <w:bCs/>
          <w:sz w:val="32"/>
          <w:szCs w:val="32"/>
          <w:lang w:val="en-US" w:eastAsia="zh-CN"/>
        </w:rPr>
        <w:t>8条：2024-2025年，省级筹集资金4500万元，支持2019年1月1日前安放龙骨的600总吨以上符合条件的老旧内河运输船舶，开展岸电系统受电设施改造，2025</w:t>
      </w:r>
      <w:r>
        <w:rPr>
          <w:rFonts w:hint="eastAsia" w:ascii="仿宋_GB2312" w:hAnsi="仿宋_GB2312" w:eastAsia="仿宋_GB2312" w:cs="仿宋_GB2312"/>
          <w:b/>
          <w:bCs/>
          <w:sz w:val="32"/>
          <w:szCs w:val="32"/>
          <w:lang w:val="en-US" w:eastAsia="zh-CN"/>
        </w:rPr>
        <w:t>年年底前完成符合条件的船舶改造任务。</w:t>
      </w:r>
      <w:r>
        <w:rPr>
          <w:rFonts w:hint="eastAsia" w:ascii="楷体_GB2312" w:hAnsi="楷体_GB2312" w:eastAsia="楷体_GB2312" w:cs="楷体_GB2312"/>
          <w:b/>
          <w:bCs/>
          <w:sz w:val="32"/>
          <w:szCs w:val="32"/>
          <w:lang w:val="en-US" w:eastAsia="zh-CN"/>
        </w:rPr>
        <w:t>（牵头单位：省交通运输厅、省财政厅）</w:t>
      </w:r>
    </w:p>
    <w:p>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楷体_GB2312" w:hAnsi="楷体_GB2312" w:eastAsia="楷体_GB2312" w:cs="楷体_GB2312"/>
          <w:b/>
          <w:bCs/>
          <w:sz w:val="32"/>
          <w:szCs w:val="32"/>
          <w:lang w:val="en-US" w:eastAsia="zh-CN"/>
        </w:rPr>
      </w:pPr>
      <w:r>
        <w:rPr>
          <w:rFonts w:hint="eastAsia" w:ascii="仿宋_GB2312" w:hAnsi="仿宋_GB2312" w:eastAsia="仿宋_GB2312" w:cs="仿宋_GB2312"/>
          <w:b/>
          <w:bCs/>
          <w:sz w:val="32"/>
          <w:szCs w:val="32"/>
          <w:lang w:val="en-US" w:eastAsia="zh-CN"/>
        </w:rPr>
        <w:t>第</w:t>
      </w:r>
      <w:r>
        <w:rPr>
          <w:rFonts w:hint="default" w:ascii="Times New Roman" w:hAnsi="Times New Roman" w:eastAsia="仿宋_GB2312" w:cs="Times New Roman"/>
          <w:b/>
          <w:bCs/>
          <w:sz w:val="32"/>
          <w:szCs w:val="32"/>
          <w:lang w:val="en-US" w:eastAsia="zh-CN"/>
        </w:rPr>
        <w:t>25条：对通行京杭运河（包括支流航道）山东段的集装箱船舶实施免费过闸。对在小清河航行的船舶通行费、过闸费给予全额补助，政策执行期至2025年12月31日，其中2024年补助总额度最高2000万元</w:t>
      </w:r>
      <w:r>
        <w:rPr>
          <w:rFonts w:hint="default" w:ascii="Times New Roman" w:hAnsi="Times New Roman" w:eastAsia="仿宋_GB2312" w:cs="Times New Roman"/>
          <w:sz w:val="32"/>
          <w:szCs w:val="32"/>
          <w:lang w:val="en-US" w:eastAsia="zh-CN"/>
        </w:rPr>
        <w:t>。</w:t>
      </w:r>
      <w:r>
        <w:rPr>
          <w:rFonts w:hint="eastAsia" w:ascii="楷体_GB2312" w:hAnsi="楷体_GB2312" w:eastAsia="楷体_GB2312" w:cs="楷体_GB2312"/>
          <w:b/>
          <w:bCs/>
          <w:sz w:val="32"/>
          <w:szCs w:val="32"/>
          <w:lang w:val="en-US" w:eastAsia="zh-CN"/>
        </w:rPr>
        <w:t>（牵头单位：省交通运输厅、省财政厅）</w:t>
      </w:r>
    </w:p>
    <w:p>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因这两项政策针对的是内河运输船舶，目前，我市航运公司船舶均为沿海运输船舶，就不进行详细解读了。</w:t>
      </w:r>
    </w:p>
    <w:p>
      <w:pPr>
        <w:pStyle w:val="2"/>
        <w:keepNext w:val="0"/>
        <w:keepLines w:val="0"/>
        <w:pageBreakBefore w:val="0"/>
        <w:tabs>
          <w:tab w:val="right" w:leader="dot" w:pos="9118"/>
        </w:tabs>
        <w:kinsoku/>
        <w:wordWrap/>
        <w:overflowPunct/>
        <w:topLinePunct w:val="0"/>
        <w:autoSpaceDE/>
        <w:autoSpaceDN/>
        <w:bidi w:val="0"/>
        <w:adjustRightInd/>
        <w:snapToGrid/>
        <w:spacing w:beforeLines="0" w:afterLines="0" w:line="560" w:lineRule="exact"/>
        <w:ind w:left="0" w:leftChars="0"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三、第四项、第五项分别是第</w:t>
      </w:r>
      <w:r>
        <w:rPr>
          <w:rFonts w:hint="default" w:ascii="Times New Roman" w:hAnsi="Times New Roman" w:eastAsia="黑体" w:cs="Times New Roman"/>
          <w:sz w:val="32"/>
          <w:szCs w:val="32"/>
          <w:lang w:val="en-US" w:eastAsia="zh-CN"/>
        </w:rPr>
        <w:t>26条、第27条</w:t>
      </w:r>
    </w:p>
    <w:p>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第</w:t>
      </w:r>
      <w:r>
        <w:rPr>
          <w:rFonts w:hint="default" w:ascii="Times New Roman" w:hAnsi="Times New Roman" w:eastAsia="仿宋_GB2312" w:cs="Times New Roman"/>
          <w:b/>
          <w:bCs/>
          <w:sz w:val="32"/>
          <w:szCs w:val="32"/>
          <w:lang w:val="en-US" w:eastAsia="zh-CN"/>
        </w:rPr>
        <w:t>26条：省级筹集2000万元，对2024年经山东港口的内贸海运多式联运“一箱制”业务，给予最高600元</w:t>
      </w:r>
      <w:r>
        <w:rPr>
          <w:rFonts w:hint="eastAsia" w:ascii="仿宋_GB2312" w:hAnsi="仿宋_GB2312" w:eastAsia="仿宋_GB2312" w:cs="仿宋_GB2312"/>
          <w:b/>
          <w:bCs/>
          <w:sz w:val="32"/>
          <w:szCs w:val="32"/>
          <w:lang w:val="en-US" w:eastAsia="zh-CN"/>
        </w:rPr>
        <w:t>/标箱补贴。</w:t>
      </w:r>
      <w:r>
        <w:rPr>
          <w:rFonts w:hint="eastAsia" w:ascii="楷体_GB2312" w:hAnsi="楷体_GB2312" w:eastAsia="楷体_GB2312" w:cs="楷体_GB2312"/>
          <w:b/>
          <w:bCs/>
          <w:sz w:val="32"/>
          <w:szCs w:val="32"/>
          <w:lang w:val="en-US" w:eastAsia="zh-CN"/>
        </w:rPr>
        <w:t>（牵头单位：省交通运输厅、省财政厅）</w:t>
      </w:r>
      <w:r>
        <w:rPr>
          <w:rFonts w:hint="eastAsia" w:ascii="仿宋_GB2312" w:hAnsi="仿宋_GB2312" w:eastAsia="仿宋_GB2312" w:cs="仿宋_GB2312"/>
          <w:b/>
          <w:bCs/>
          <w:sz w:val="32"/>
          <w:szCs w:val="32"/>
          <w:lang w:val="en-US" w:eastAsia="zh-CN"/>
        </w:rPr>
        <w:t xml:space="preserve">  </w:t>
      </w:r>
    </w:p>
    <w:p>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default" w:ascii="Times New Roman" w:hAnsi="Times New Roman" w:eastAsia="仿宋_GB2312" w:cs="Times New Roman"/>
          <w:b/>
          <w:bCs/>
          <w:sz w:val="32"/>
          <w:szCs w:val="32"/>
          <w:lang w:val="en-US" w:eastAsia="zh-CN"/>
        </w:rPr>
      </w:pPr>
      <w:r>
        <w:rPr>
          <w:rFonts w:hint="eastAsia" w:ascii="仿宋_GB2312" w:hAnsi="仿宋_GB2312" w:eastAsia="仿宋_GB2312" w:cs="仿宋_GB2312"/>
          <w:b/>
          <w:bCs/>
          <w:sz w:val="32"/>
          <w:szCs w:val="32"/>
          <w:lang w:val="en-US" w:eastAsia="zh-CN"/>
        </w:rPr>
        <w:t>第</w:t>
      </w:r>
      <w:r>
        <w:rPr>
          <w:rFonts w:hint="default" w:ascii="Times New Roman" w:hAnsi="Times New Roman" w:eastAsia="仿宋_GB2312" w:cs="Times New Roman"/>
          <w:b/>
          <w:bCs/>
          <w:sz w:val="32"/>
          <w:szCs w:val="32"/>
          <w:lang w:val="en-US" w:eastAsia="zh-CN"/>
        </w:rPr>
        <w:t>27条：省级筹集2000万元，对2024年山东港口海铁联运班列出口下水集装箱，给予每标箱350-500元补贴；对2024年支线船公司在山东港口运营的内支线，每运营一个航次补贴5万元。</w:t>
      </w:r>
      <w:r>
        <w:rPr>
          <w:rFonts w:hint="default" w:ascii="Times New Roman" w:hAnsi="Times New Roman" w:eastAsia="楷体_GB2312" w:cs="Times New Roman"/>
          <w:b/>
          <w:bCs/>
          <w:sz w:val="32"/>
          <w:szCs w:val="32"/>
          <w:lang w:val="en-US" w:eastAsia="zh-CN"/>
        </w:rPr>
        <w:t>（牵头单位：省交通运输厅、省财政厅）</w:t>
      </w:r>
    </w:p>
    <w:p>
      <w:pPr>
        <w:pStyle w:val="2"/>
        <w:keepNext w:val="0"/>
        <w:keepLines w:val="0"/>
        <w:pageBreakBefore w:val="0"/>
        <w:tabs>
          <w:tab w:val="right" w:leader="dot" w:pos="9118"/>
        </w:tabs>
        <w:kinsoku/>
        <w:wordWrap/>
        <w:overflowPunct/>
        <w:topLinePunct w:val="0"/>
        <w:autoSpaceDE/>
        <w:autoSpaceDN/>
        <w:bidi w:val="0"/>
        <w:adjustRightInd/>
        <w:snapToGrid/>
        <w:spacing w:beforeLines="0" w:afterLines="0" w:line="56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default" w:ascii="Times New Roman" w:hAnsi="Times New Roman" w:eastAsia="仿宋_GB2312" w:cs="Times New Roman"/>
          <w:sz w:val="32"/>
          <w:szCs w:val="32"/>
          <w:lang w:val="en-US" w:eastAsia="zh-CN"/>
        </w:rPr>
        <w:t>2023年是全省水运</w:t>
      </w:r>
      <w:r>
        <w:rPr>
          <w:rFonts w:hint="eastAsia" w:ascii="仿宋_GB2312" w:hAnsi="仿宋_GB2312" w:eastAsia="仿宋_GB2312" w:cs="仿宋_GB2312"/>
          <w:sz w:val="32"/>
          <w:szCs w:val="32"/>
          <w:lang w:val="en-US" w:eastAsia="zh-CN"/>
        </w:rPr>
        <w:t>行业发展史上极不平凡、极为重要的一年，省委省政府、市委市政府高度重视世界一流海洋港口建设。省交通运输厅、威海市交通运输局全面贯彻落实省委省政府、市委市政府各项决策部署，深入实施世界级港口群建设，支持海铁联运发展，完善山东省港口内支线网络布局，搭建联通环黄渤海地区绿色环保、经济便捷的海运物流通道。</w:t>
      </w:r>
    </w:p>
    <w:p>
      <w:pPr>
        <w:keepNext w:val="0"/>
        <w:keepLines w:val="0"/>
        <w:pageBreakBefore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关于申报</w:t>
      </w:r>
      <w:r>
        <w:rPr>
          <w:rFonts w:hint="eastAsia" w:ascii="仿宋_GB2312" w:hAnsi="仿宋_GB2312" w:eastAsia="仿宋_GB2312" w:cs="仿宋_GB2312"/>
          <w:color w:val="0000FF"/>
          <w:sz w:val="32"/>
          <w:szCs w:val="32"/>
          <w:lang w:val="en-US" w:eastAsia="zh-CN"/>
        </w:rPr>
        <w:t>。</w:t>
      </w:r>
      <w:r>
        <w:rPr>
          <w:rFonts w:hint="eastAsia" w:ascii="仿宋_GB2312" w:hAnsi="仿宋_GB2312" w:eastAsia="仿宋_GB2312" w:cs="仿宋_GB2312"/>
          <w:sz w:val="32"/>
          <w:szCs w:val="32"/>
          <w:lang w:val="en-US" w:eastAsia="zh-CN"/>
        </w:rPr>
        <w:t>山东省交通运输</w:t>
      </w:r>
      <w:r>
        <w:rPr>
          <w:rFonts w:hint="eastAsia" w:ascii="仿宋_GB2312" w:hAnsi="仿宋_GB2312" w:eastAsia="仿宋_GB2312" w:cs="仿宋_GB2312"/>
          <w:b w:val="0"/>
          <w:bCs w:val="0"/>
          <w:sz w:val="32"/>
          <w:szCs w:val="32"/>
          <w:lang w:val="en-US" w:eastAsia="zh-CN"/>
        </w:rPr>
        <w:t>厅正在加快研究，进一步明确</w:t>
      </w:r>
      <w:r>
        <w:rPr>
          <w:rFonts w:hint="eastAsia" w:ascii="仿宋_GB2312" w:hAnsi="仿宋_GB2312" w:eastAsia="仿宋_GB2312" w:cs="仿宋_GB2312"/>
          <w:sz w:val="32"/>
          <w:szCs w:val="32"/>
          <w:lang w:val="en-US" w:eastAsia="zh-CN"/>
        </w:rPr>
        <w:t>所需要的申报材料、具体申报程序等内容，我局将密切关注、积极对接，</w:t>
      </w:r>
      <w:r>
        <w:rPr>
          <w:rFonts w:hint="eastAsia" w:ascii="仿宋_GB2312" w:hAnsi="仿宋_GB2312" w:eastAsia="仿宋_GB2312" w:cs="仿宋_GB2312"/>
          <w:b w:val="0"/>
          <w:bCs w:val="0"/>
          <w:color w:val="auto"/>
          <w:kern w:val="2"/>
          <w:sz w:val="32"/>
          <w:szCs w:val="32"/>
          <w:lang w:val="en-US" w:eastAsia="zh-CN" w:bidi="ar-SA"/>
        </w:rPr>
        <w:t>具体实施细则印发之后，将按要求组织进行申报。</w:t>
      </w:r>
    </w:p>
    <w:p>
      <w:pPr>
        <w:pStyle w:val="7"/>
        <w:keepNext w:val="0"/>
        <w:keepLines w:val="0"/>
        <w:pageBreakBefore w:val="0"/>
        <w:widowControl w:val="0"/>
        <w:kinsoku/>
        <w:wordWrap/>
        <w:overflowPunct w:val="0"/>
        <w:topLinePunct w:val="0"/>
        <w:autoSpaceDE/>
        <w:autoSpaceDN/>
        <w:bidi w:val="0"/>
        <w:adjustRightInd w:val="0"/>
        <w:snapToGrid w:val="0"/>
        <w:spacing w:after="0" w:line="560" w:lineRule="exact"/>
        <w:ind w:left="0" w:leftChars="0" w:firstLine="0" w:firstLineChars="0"/>
        <w:jc w:val="both"/>
        <w:textAlignment w:val="auto"/>
        <w:rPr>
          <w:rFonts w:hint="eastAsia" w:ascii="方正小标宋简体" w:hAnsi="仿宋_GB2312" w:eastAsia="方正小标宋简体" w:cs="仿宋_GB2312"/>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公共汽电车和动力电池</w:t>
      </w:r>
      <w:r>
        <w:rPr>
          <w:rFonts w:hint="eastAsia" w:ascii="黑体" w:hAnsi="黑体" w:eastAsia="黑体" w:cs="黑体"/>
          <w:sz w:val="32"/>
          <w:szCs w:val="32"/>
          <w:lang w:val="en"/>
        </w:rPr>
        <w:t>以旧换新</w:t>
      </w:r>
      <w:r>
        <w:rPr>
          <w:rFonts w:hint="eastAsia" w:ascii="黑体" w:hAnsi="黑体" w:eastAsia="黑体" w:cs="黑体"/>
          <w:sz w:val="32"/>
          <w:szCs w:val="32"/>
          <w:lang w:val="en-US" w:eastAsia="zh-CN"/>
        </w:rPr>
        <w:t>方面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仿宋_GB2312" w:eastAsia="仿宋_GB2312" w:cs="Times New Roman"/>
          <w:sz w:val="32"/>
          <w:szCs w:val="32"/>
          <w:lang w:val="en-US" w:eastAsia="zh-CN"/>
        </w:rPr>
        <w:t>第二批政策清单中涉及公交车辆的共有</w:t>
      </w:r>
      <w:r>
        <w:rPr>
          <w:rFonts w:hint="eastAsia" w:ascii="Times New Roman" w:hAnsi="Times New Roman" w:eastAsia="仿宋_GB2312" w:cs="Times New Roman"/>
          <w:sz w:val="32"/>
          <w:szCs w:val="32"/>
          <w:lang w:val="en-US" w:eastAsia="zh-CN"/>
        </w:rPr>
        <w:t>1</w:t>
      </w:r>
      <w:r>
        <w:rPr>
          <w:rFonts w:hint="eastAsia" w:ascii="仿宋_GB2312" w:eastAsia="仿宋_GB2312" w:cs="Times New Roman"/>
          <w:sz w:val="32"/>
          <w:szCs w:val="32"/>
          <w:lang w:val="en-US" w:eastAsia="zh-CN"/>
        </w:rPr>
        <w:t>项。</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rPr>
      </w:pPr>
      <w:r>
        <w:rPr>
          <w:rFonts w:hint="default" w:ascii="Times New Roman" w:hAnsi="Times New Roman" w:eastAsia="仿宋_GB2312" w:cs="Times New Roman"/>
          <w:b/>
          <w:bCs/>
          <w:sz w:val="32"/>
          <w:szCs w:val="32"/>
          <w:lang w:val="en-US" w:eastAsia="zh-CN"/>
        </w:rPr>
        <w:t>6.2024-2025</w:t>
      </w:r>
      <w:r>
        <w:rPr>
          <w:rFonts w:hint="eastAsia" w:ascii="仿宋_GB2312" w:hAnsi="仿宋_GB2312" w:eastAsia="仿宋_GB2312" w:cs="仿宋_GB2312"/>
          <w:b/>
          <w:bCs/>
          <w:sz w:val="32"/>
          <w:szCs w:val="32"/>
        </w:rPr>
        <w:t>年,省级筹集资金,支持老旧新能源城市公共汽电车和动力电池更新换代,对更新符合条件的城市公共汽电车和动力电池,根据不同车辆类型、电池规格,给予城市公交企业一次性定额补贴</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(牵头单位:省交通运输厅、省公安厅、省财政厅)</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i w:val="0"/>
          <w:iCs w:val="0"/>
          <w:sz w:val="32"/>
          <w:szCs w:val="32"/>
          <w:lang w:val="en"/>
        </w:rPr>
      </w:pPr>
      <w:r>
        <w:rPr>
          <w:rFonts w:hint="eastAsia" w:ascii="仿宋_GB2312" w:hAnsi="仿宋_GB2312" w:eastAsia="仿宋_GB2312" w:cs="仿宋_GB2312"/>
          <w:b/>
          <w:bCs/>
          <w:sz w:val="32"/>
          <w:szCs w:val="32"/>
          <w:lang w:val="en-US" w:eastAsia="zh-CN"/>
        </w:rPr>
        <w:t>解读</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省</w:t>
      </w:r>
      <w:r>
        <w:rPr>
          <w:rFonts w:hint="eastAsia" w:ascii="仿宋_GB2312" w:hAnsi="仿宋_GB2312" w:eastAsia="仿宋_GB2312" w:cs="仿宋_GB2312"/>
          <w:i w:val="0"/>
          <w:iCs w:val="0"/>
          <w:sz w:val="32"/>
          <w:szCs w:val="32"/>
          <w:lang w:val="en"/>
        </w:rPr>
        <w:t>交通运输</w:t>
      </w:r>
      <w:r>
        <w:rPr>
          <w:rFonts w:hint="eastAsia" w:ascii="仿宋_GB2312" w:hAnsi="仿宋_GB2312" w:eastAsia="仿宋_GB2312" w:cs="仿宋_GB2312"/>
          <w:i w:val="0"/>
          <w:iCs w:val="0"/>
          <w:sz w:val="32"/>
          <w:szCs w:val="32"/>
        </w:rPr>
        <w:t>厅初步起草了推动老旧新能源城市公共汽电车和动力电池更新换代工作措施</w:t>
      </w:r>
      <w:r>
        <w:rPr>
          <w:rFonts w:hint="eastAsia" w:ascii="仿宋_GB2312" w:hAnsi="仿宋_GB2312" w:eastAsia="仿宋_GB2312" w:cs="仿宋_GB2312"/>
          <w:i w:val="0"/>
          <w:iCs w:val="0"/>
          <w:sz w:val="32"/>
          <w:szCs w:val="32"/>
          <w:lang w:val="en" w:eastAsia="zh-CN"/>
        </w:rPr>
        <w:t>，</w:t>
      </w:r>
      <w:r>
        <w:rPr>
          <w:rFonts w:hint="eastAsia" w:ascii="仿宋_GB2312" w:hAnsi="仿宋_GB2312" w:eastAsia="仿宋_GB2312" w:cs="仿宋_GB2312"/>
          <w:i w:val="0"/>
          <w:iCs w:val="0"/>
          <w:sz w:val="32"/>
          <w:szCs w:val="32"/>
        </w:rPr>
        <w:t>目前工作措施部分内容还需要再与省级有关部门进一步的沟通</w:t>
      </w:r>
      <w:r>
        <w:rPr>
          <w:rFonts w:hint="eastAsia" w:ascii="仿宋_GB2312" w:hAnsi="仿宋_GB2312" w:eastAsia="仿宋_GB2312" w:cs="仿宋_GB2312"/>
          <w:i w:val="0"/>
          <w:iCs w:val="0"/>
          <w:sz w:val="32"/>
          <w:szCs w:val="32"/>
          <w:lang w:val="e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
        </w:rPr>
      </w:pPr>
      <w:r>
        <w:rPr>
          <w:rFonts w:hint="eastAsia" w:ascii="仿宋_GB2312" w:hAnsi="仿宋_GB2312" w:eastAsia="仿宋_GB2312" w:cs="仿宋_GB2312"/>
          <w:sz w:val="32"/>
          <w:szCs w:val="32"/>
          <w:lang w:val="en"/>
        </w:rPr>
        <w:t>一是</w:t>
      </w:r>
      <w:r>
        <w:rPr>
          <w:rFonts w:hint="eastAsia" w:ascii="仿宋_GB2312" w:hAnsi="仿宋_GB2312" w:eastAsia="仿宋_GB2312" w:cs="仿宋_GB2312"/>
          <w:sz w:val="32"/>
          <w:szCs w:val="32"/>
        </w:rPr>
        <w:t>关于政策</w:t>
      </w:r>
      <w:r>
        <w:rPr>
          <w:rFonts w:hint="eastAsia" w:ascii="仿宋_GB2312" w:hAnsi="仿宋_GB2312" w:eastAsia="仿宋_GB2312" w:cs="仿宋_GB2312"/>
          <w:sz w:val="32"/>
          <w:szCs w:val="32"/>
          <w:lang w:val="en"/>
        </w:rPr>
        <w:t>支持</w:t>
      </w:r>
      <w:r>
        <w:rPr>
          <w:rFonts w:hint="eastAsia" w:ascii="仿宋_GB2312" w:hAnsi="仿宋_GB2312" w:eastAsia="仿宋_GB2312" w:cs="仿宋_GB2312"/>
          <w:sz w:val="32"/>
          <w:szCs w:val="32"/>
        </w:rPr>
        <w:t>方式</w:t>
      </w:r>
      <w:r>
        <w:rPr>
          <w:rFonts w:hint="eastAsia" w:ascii="仿宋_GB2312" w:hAnsi="仿宋_GB2312" w:eastAsia="仿宋_GB2312" w:cs="仿宋_GB2312"/>
          <w:sz w:val="32"/>
          <w:szCs w:val="32"/>
          <w:lang w:val="en"/>
        </w:rPr>
        <w:t>，拟在</w:t>
      </w:r>
      <w:r>
        <w:rPr>
          <w:rFonts w:hint="default" w:ascii="Times New Roman" w:hAnsi="Times New Roman" w:eastAsia="仿宋_GB2312" w:cs="Times New Roman"/>
          <w:sz w:val="32"/>
          <w:szCs w:val="32"/>
        </w:rPr>
        <w:t>2024</w:t>
      </w:r>
      <w:r>
        <w:rPr>
          <w:rFonts w:hint="default" w:ascii="Times New Roman" w:hAnsi="Times New Roman" w:eastAsia="仿宋_GB2312" w:cs="Times New Roman"/>
          <w:sz w:val="32"/>
          <w:szCs w:val="32"/>
          <w:lang w:val="en"/>
        </w:rPr>
        <w:t>-</w:t>
      </w:r>
      <w:r>
        <w:rPr>
          <w:rFonts w:hint="default" w:ascii="Times New Roman" w:hAnsi="Times New Roman" w:eastAsia="仿宋_GB2312" w:cs="Times New Roman"/>
          <w:sz w:val="32"/>
          <w:szCs w:val="32"/>
        </w:rPr>
        <w:t>2025</w:t>
      </w:r>
      <w:r>
        <w:rPr>
          <w:rFonts w:hint="eastAsia" w:ascii="仿宋_GB2312" w:hAnsi="仿宋_GB2312" w:eastAsia="仿宋_GB2312" w:cs="仿宋_GB2312"/>
          <w:sz w:val="32"/>
          <w:szCs w:val="32"/>
        </w:rPr>
        <w:t>年度对更新符合条件的城市公共汽电车</w:t>
      </w:r>
      <w:r>
        <w:rPr>
          <w:rFonts w:hint="eastAsia" w:ascii="仿宋_GB2312" w:hAnsi="仿宋_GB2312" w:eastAsia="仿宋_GB2312" w:cs="仿宋_GB2312"/>
          <w:sz w:val="32"/>
          <w:szCs w:val="32"/>
          <w:lang w:val="en"/>
        </w:rPr>
        <w:t>、</w:t>
      </w:r>
      <w:r>
        <w:rPr>
          <w:rFonts w:hint="eastAsia" w:ascii="仿宋_GB2312" w:hAnsi="仿宋_GB2312" w:eastAsia="仿宋_GB2312" w:cs="仿宋_GB2312"/>
          <w:sz w:val="32"/>
          <w:szCs w:val="32"/>
        </w:rPr>
        <w:t>动力电池的城市公交企业</w:t>
      </w:r>
      <w:r>
        <w:rPr>
          <w:rFonts w:hint="eastAsia" w:ascii="仿宋_GB2312" w:hAnsi="仿宋_GB2312" w:eastAsia="仿宋_GB2312" w:cs="仿宋_GB2312"/>
          <w:sz w:val="32"/>
          <w:szCs w:val="32"/>
          <w:lang w:val="en"/>
        </w:rPr>
        <w:t>进行</w:t>
      </w:r>
      <w:r>
        <w:rPr>
          <w:rFonts w:hint="eastAsia" w:ascii="仿宋_GB2312" w:hAnsi="仿宋_GB2312" w:eastAsia="仿宋_GB2312" w:cs="仿宋_GB2312"/>
          <w:sz w:val="32"/>
          <w:szCs w:val="32"/>
        </w:rPr>
        <w:t>一次性定额补贴，待省级筹集资金规模确定后，将根据不同的车辆类型</w:t>
      </w:r>
      <w:r>
        <w:rPr>
          <w:rFonts w:hint="eastAsia" w:ascii="仿宋_GB2312" w:hAnsi="仿宋_GB2312" w:eastAsia="仿宋_GB2312" w:cs="仿宋_GB2312"/>
          <w:sz w:val="32"/>
          <w:szCs w:val="32"/>
          <w:lang w:val="en"/>
        </w:rPr>
        <w:t>、</w:t>
      </w:r>
      <w:r>
        <w:rPr>
          <w:rFonts w:hint="eastAsia" w:ascii="仿宋_GB2312" w:hAnsi="仿宋_GB2312" w:eastAsia="仿宋_GB2312" w:cs="仿宋_GB2312"/>
          <w:sz w:val="32"/>
          <w:szCs w:val="32"/>
        </w:rPr>
        <w:t>不同电池规格进一步明确具体补贴标准</w:t>
      </w:r>
      <w:r>
        <w:rPr>
          <w:rFonts w:hint="eastAsia" w:ascii="仿宋_GB2312" w:hAnsi="仿宋_GB2312" w:eastAsia="仿宋_GB2312" w:cs="仿宋_GB2312"/>
          <w:sz w:val="32"/>
          <w:szCs w:val="32"/>
          <w:lang w:val="en"/>
        </w:rPr>
        <w:t>。二是</w:t>
      </w:r>
      <w:r>
        <w:rPr>
          <w:rFonts w:hint="eastAsia" w:ascii="仿宋_GB2312" w:hAnsi="仿宋_GB2312" w:eastAsia="仿宋_GB2312" w:cs="仿宋_GB2312"/>
          <w:sz w:val="32"/>
          <w:szCs w:val="32"/>
        </w:rPr>
        <w:t>关于申请要求</w:t>
      </w:r>
      <w:r>
        <w:rPr>
          <w:rFonts w:hint="eastAsia" w:ascii="仿宋_GB2312" w:hAnsi="仿宋_GB2312" w:eastAsia="仿宋_GB2312" w:cs="仿宋_GB2312"/>
          <w:sz w:val="32"/>
          <w:szCs w:val="32"/>
          <w:lang w:val="en"/>
        </w:rPr>
        <w:t>，</w:t>
      </w:r>
      <w:r>
        <w:rPr>
          <w:rFonts w:hint="eastAsia" w:ascii="仿宋_GB2312" w:hAnsi="仿宋_GB2312" w:eastAsia="仿宋_GB2312" w:cs="仿宋_GB2312"/>
          <w:sz w:val="32"/>
          <w:szCs w:val="32"/>
        </w:rPr>
        <w:t>根据国务院推动大规模设备</w:t>
      </w:r>
      <w:r>
        <w:rPr>
          <w:rFonts w:hint="eastAsia" w:ascii="仿宋_GB2312" w:hAnsi="仿宋_GB2312" w:eastAsia="仿宋_GB2312" w:cs="仿宋_GB2312"/>
          <w:sz w:val="32"/>
          <w:szCs w:val="32"/>
          <w:lang w:val="en"/>
        </w:rPr>
        <w:t>更新</w:t>
      </w:r>
      <w:r>
        <w:rPr>
          <w:rFonts w:hint="eastAsia" w:ascii="仿宋_GB2312" w:hAnsi="仿宋_GB2312" w:eastAsia="仿宋_GB2312" w:cs="仿宋_GB2312"/>
          <w:sz w:val="32"/>
          <w:szCs w:val="32"/>
        </w:rPr>
        <w:t>和消费品</w:t>
      </w:r>
      <w:r>
        <w:rPr>
          <w:rFonts w:hint="eastAsia" w:ascii="仿宋_GB2312" w:hAnsi="仿宋_GB2312" w:eastAsia="仿宋_GB2312" w:cs="仿宋_GB2312"/>
          <w:sz w:val="32"/>
          <w:szCs w:val="32"/>
          <w:lang w:val="en"/>
        </w:rPr>
        <w:t>以旧换新</w:t>
      </w:r>
      <w:r>
        <w:rPr>
          <w:rFonts w:hint="eastAsia" w:ascii="仿宋_GB2312" w:hAnsi="仿宋_GB2312" w:eastAsia="仿宋_GB2312" w:cs="仿宋_GB2312"/>
          <w:sz w:val="32"/>
          <w:szCs w:val="32"/>
        </w:rPr>
        <w:t>方案的</w:t>
      </w:r>
      <w:r>
        <w:rPr>
          <w:rFonts w:hint="eastAsia" w:ascii="仿宋_GB2312" w:hAnsi="仿宋_GB2312" w:eastAsia="仿宋_GB2312" w:cs="仿宋_GB2312"/>
          <w:sz w:val="32"/>
          <w:szCs w:val="32"/>
          <w:lang w:val="en"/>
        </w:rPr>
        <w:t>有关</w:t>
      </w:r>
      <w:r>
        <w:rPr>
          <w:rFonts w:hint="eastAsia" w:ascii="仿宋_GB2312" w:hAnsi="仿宋_GB2312" w:eastAsia="仿宋_GB2312" w:cs="仿宋_GB2312"/>
          <w:sz w:val="32"/>
          <w:szCs w:val="32"/>
        </w:rPr>
        <w:t>规定，资金补贴范围为依法取得城市公共汽电车客运经营资质的城市公共汽电车客运企业</w:t>
      </w:r>
      <w:r>
        <w:rPr>
          <w:rFonts w:hint="eastAsia" w:ascii="仿宋_GB2312" w:hAnsi="仿宋_GB2312" w:eastAsia="仿宋_GB2312" w:cs="仿宋_GB2312"/>
          <w:sz w:val="32"/>
          <w:szCs w:val="32"/>
          <w:lang w:val="en"/>
        </w:rPr>
        <w:t>，</w:t>
      </w:r>
      <w:r>
        <w:rPr>
          <w:rFonts w:hint="eastAsia" w:ascii="仿宋_GB2312" w:hAnsi="仿宋_GB2312" w:eastAsia="仿宋_GB2312" w:cs="仿宋_GB2312"/>
          <w:sz w:val="32"/>
          <w:szCs w:val="32"/>
        </w:rPr>
        <w:t>更新的车型必须是国家工业和信息化部车辆生产企业及产品公告中的</w:t>
      </w:r>
      <w:r>
        <w:rPr>
          <w:rFonts w:hint="eastAsia" w:ascii="仿宋_GB2312" w:hAnsi="仿宋_GB2312" w:eastAsia="仿宋_GB2312" w:cs="仿宋_GB2312"/>
          <w:sz w:val="32"/>
          <w:szCs w:val="32"/>
          <w:lang w:val="en"/>
        </w:rPr>
        <w:t>纯</w:t>
      </w:r>
      <w:r>
        <w:rPr>
          <w:rFonts w:hint="eastAsia" w:ascii="仿宋_GB2312" w:hAnsi="仿宋_GB2312" w:eastAsia="仿宋_GB2312" w:cs="仿宋_GB2312"/>
          <w:sz w:val="32"/>
          <w:szCs w:val="32"/>
        </w:rPr>
        <w:t>电动车</w:t>
      </w:r>
      <w:r>
        <w:rPr>
          <w:rFonts w:hint="eastAsia" w:ascii="仿宋_GB2312" w:hAnsi="仿宋_GB2312" w:eastAsia="仿宋_GB2312" w:cs="仿宋_GB2312"/>
          <w:sz w:val="32"/>
          <w:szCs w:val="32"/>
          <w:lang w:val="en"/>
        </w:rPr>
        <w:t>、</w:t>
      </w:r>
      <w:r>
        <w:rPr>
          <w:rFonts w:hint="eastAsia" w:ascii="仿宋_GB2312" w:hAnsi="仿宋_GB2312" w:eastAsia="仿宋_GB2312" w:cs="仿宋_GB2312"/>
          <w:sz w:val="32"/>
          <w:szCs w:val="32"/>
        </w:rPr>
        <w:t>插电式混合动力车和燃料电池车</w:t>
      </w:r>
      <w:r>
        <w:rPr>
          <w:rFonts w:hint="eastAsia" w:ascii="仿宋_GB2312" w:hAnsi="仿宋_GB2312" w:eastAsia="仿宋_GB2312" w:cs="仿宋_GB2312"/>
          <w:sz w:val="32"/>
          <w:szCs w:val="32"/>
          <w:lang w:val="en"/>
        </w:rPr>
        <w:t>，更新的</w:t>
      </w:r>
      <w:r>
        <w:rPr>
          <w:rFonts w:hint="eastAsia" w:ascii="仿宋_GB2312" w:hAnsi="仿宋_GB2312" w:eastAsia="仿宋_GB2312" w:cs="仿宋_GB2312"/>
          <w:sz w:val="32"/>
          <w:szCs w:val="32"/>
        </w:rPr>
        <w:t>动力电池必须是新能源动力电池</w:t>
      </w:r>
      <w:r>
        <w:rPr>
          <w:rFonts w:hint="eastAsia" w:ascii="仿宋_GB2312" w:hAnsi="仿宋_GB2312" w:eastAsia="仿宋_GB2312" w:cs="仿宋_GB2312"/>
          <w:sz w:val="32"/>
          <w:szCs w:val="32"/>
          <w:lang w:val="en"/>
        </w:rPr>
        <w:t>。三是</w:t>
      </w:r>
      <w:r>
        <w:rPr>
          <w:rFonts w:hint="eastAsia" w:ascii="仿宋_GB2312" w:hAnsi="仿宋_GB2312" w:eastAsia="仿宋_GB2312" w:cs="仿宋_GB2312"/>
          <w:sz w:val="32"/>
          <w:szCs w:val="32"/>
        </w:rPr>
        <w:t>关于操作方法</w:t>
      </w:r>
      <w:r>
        <w:rPr>
          <w:rFonts w:hint="eastAsia" w:ascii="仿宋_GB2312" w:hAnsi="仿宋_GB2312" w:eastAsia="仿宋_GB2312" w:cs="仿宋_GB2312"/>
          <w:sz w:val="32"/>
          <w:szCs w:val="32"/>
          <w:lang w:val="en"/>
        </w:rPr>
        <w:t>，</w:t>
      </w:r>
      <w:r>
        <w:rPr>
          <w:rFonts w:hint="eastAsia" w:ascii="仿宋_GB2312" w:hAnsi="仿宋_GB2312" w:eastAsia="仿宋_GB2312" w:cs="仿宋_GB2312"/>
          <w:sz w:val="32"/>
          <w:szCs w:val="32"/>
        </w:rPr>
        <w:t>新能源城市公共汽电车和动力电池更新资金补贴项目流程为</w:t>
      </w:r>
      <w:r>
        <w:rPr>
          <w:rFonts w:hint="eastAsia" w:ascii="仿宋_GB2312" w:hAnsi="仿宋_GB2312" w:eastAsia="仿宋_GB2312" w:cs="仿宋_GB2312"/>
          <w:sz w:val="32"/>
          <w:szCs w:val="32"/>
          <w:lang w:val="en"/>
        </w:rPr>
        <w:t>，</w:t>
      </w:r>
      <w:r>
        <w:rPr>
          <w:rFonts w:hint="eastAsia" w:ascii="仿宋_GB2312" w:hAnsi="仿宋_GB2312" w:eastAsia="仿宋_GB2312" w:cs="仿宋_GB2312"/>
          <w:sz w:val="32"/>
          <w:szCs w:val="32"/>
        </w:rPr>
        <w:t>城市公共汽电车专营企业申请</w:t>
      </w:r>
      <w:r>
        <w:rPr>
          <w:rFonts w:hint="eastAsia" w:ascii="仿宋_GB2312" w:hAnsi="仿宋_GB2312" w:eastAsia="仿宋_GB2312" w:cs="仿宋_GB2312"/>
          <w:sz w:val="32"/>
          <w:szCs w:val="32"/>
          <w:lang w:val="en"/>
        </w:rPr>
        <w:t>，</w:t>
      </w:r>
      <w:r>
        <w:rPr>
          <w:rFonts w:hint="eastAsia" w:ascii="仿宋_GB2312" w:hAnsi="仿宋_GB2312" w:eastAsia="仿宋_GB2312" w:cs="仿宋_GB2312"/>
          <w:sz w:val="32"/>
          <w:szCs w:val="32"/>
        </w:rPr>
        <w:t>县级交通运输主管部门进行初审，市级交通主管部门确认，省级交通主管部门审核后，按程序进行</w:t>
      </w:r>
      <w:r>
        <w:rPr>
          <w:rFonts w:hint="eastAsia" w:ascii="仿宋_GB2312" w:hAnsi="仿宋_GB2312" w:eastAsia="仿宋_GB2312" w:cs="仿宋_GB2312"/>
          <w:sz w:val="32"/>
          <w:szCs w:val="32"/>
          <w:lang w:val="en"/>
        </w:rPr>
        <w:t>拨付。四是</w:t>
      </w:r>
      <w:r>
        <w:rPr>
          <w:rFonts w:hint="eastAsia" w:ascii="仿宋_GB2312" w:hAnsi="仿宋_GB2312" w:eastAsia="仿宋_GB2312" w:cs="仿宋_GB2312"/>
          <w:sz w:val="32"/>
          <w:szCs w:val="32"/>
        </w:rPr>
        <w:t>关于注意事项</w:t>
      </w:r>
      <w:r>
        <w:rPr>
          <w:rFonts w:hint="eastAsia" w:ascii="仿宋_GB2312" w:hAnsi="仿宋_GB2312" w:eastAsia="仿宋_GB2312" w:cs="仿宋_GB2312"/>
          <w:sz w:val="32"/>
          <w:szCs w:val="32"/>
          <w:lang w:val="en"/>
        </w:rPr>
        <w:t>，</w:t>
      </w:r>
      <w:r>
        <w:rPr>
          <w:rFonts w:hint="eastAsia" w:ascii="仿宋_GB2312" w:hAnsi="仿宋_GB2312" w:eastAsia="仿宋_GB2312" w:cs="仿宋_GB2312"/>
          <w:sz w:val="32"/>
          <w:szCs w:val="32"/>
        </w:rPr>
        <w:t>享受补贴车辆</w:t>
      </w:r>
      <w:r>
        <w:rPr>
          <w:rFonts w:hint="eastAsia" w:ascii="仿宋_GB2312" w:hAnsi="仿宋_GB2312" w:eastAsia="仿宋_GB2312" w:cs="仿宋_GB2312"/>
          <w:sz w:val="32"/>
          <w:szCs w:val="32"/>
          <w:lang w:val="en"/>
        </w:rPr>
        <w:t>应为</w:t>
      </w:r>
      <w:r>
        <w:rPr>
          <w:rFonts w:hint="eastAsia" w:ascii="仿宋_GB2312" w:hAnsi="仿宋_GB2312" w:eastAsia="仿宋_GB2312" w:cs="仿宋_GB2312"/>
          <w:sz w:val="32"/>
          <w:szCs w:val="32"/>
        </w:rPr>
        <w:t>低地板或低</w:t>
      </w:r>
      <w:r>
        <w:rPr>
          <w:rFonts w:hint="eastAsia" w:ascii="仿宋_GB2312" w:hAnsi="仿宋_GB2312" w:eastAsia="仿宋_GB2312" w:cs="仿宋_GB2312"/>
          <w:sz w:val="32"/>
          <w:szCs w:val="32"/>
          <w:lang w:eastAsia="zh-CN"/>
        </w:rPr>
        <w:t>入</w:t>
      </w:r>
      <w:r>
        <w:rPr>
          <w:rFonts w:hint="eastAsia" w:ascii="仿宋_GB2312" w:hAnsi="仿宋_GB2312" w:eastAsia="仿宋_GB2312" w:cs="仿宋_GB2312"/>
          <w:sz w:val="32"/>
          <w:szCs w:val="32"/>
        </w:rPr>
        <w:t>口城市公共汽电车车型，且在驾驶区域安装安全防护隔离设施，否则不予补贴，申报补贴车辆既符合老旧车辆更新补贴，又符合动力电池更新补贴要求的，由申请人自主选择其中的一项</w:t>
      </w:r>
      <w:r>
        <w:rPr>
          <w:rFonts w:hint="eastAsia" w:ascii="仿宋_GB2312" w:hAnsi="仿宋_GB2312" w:eastAsia="仿宋_GB2312" w:cs="仿宋_GB2312"/>
          <w:sz w:val="32"/>
          <w:szCs w:val="32"/>
          <w:lang w:val="en"/>
        </w:rPr>
        <w:t>，</w:t>
      </w:r>
      <w:r>
        <w:rPr>
          <w:rFonts w:hint="eastAsia" w:ascii="仿宋_GB2312" w:hAnsi="仿宋_GB2312" w:eastAsia="仿宋_GB2312" w:cs="仿宋_GB2312"/>
          <w:sz w:val="32"/>
          <w:szCs w:val="32"/>
        </w:rPr>
        <w:t>同一车辆不可以重复申请</w:t>
      </w:r>
      <w:r>
        <w:rPr>
          <w:rFonts w:hint="eastAsia" w:ascii="仿宋_GB2312" w:hAnsi="仿宋_GB2312" w:eastAsia="仿宋_GB2312" w:cs="仿宋_GB2312"/>
          <w:sz w:val="32"/>
          <w:szCs w:val="32"/>
          <w:lang w:val="en"/>
        </w:rPr>
        <w:t>补贴。</w:t>
      </w:r>
    </w:p>
    <w:p>
      <w:pPr>
        <w:pStyle w:val="7"/>
        <w:keepNext w:val="0"/>
        <w:keepLines w:val="0"/>
        <w:pageBreakBefore w:val="0"/>
        <w:widowControl w:val="0"/>
        <w:kinsoku/>
        <w:wordWrap/>
        <w:overflowPunct w:val="0"/>
        <w:topLinePunct w:val="0"/>
        <w:autoSpaceDE/>
        <w:autoSpaceDN/>
        <w:bidi w:val="0"/>
        <w:adjustRightInd w:val="0"/>
        <w:snapToGrid w:val="0"/>
        <w:spacing w:after="0" w:line="560" w:lineRule="exact"/>
        <w:ind w:left="0" w:leftChars="0" w:firstLine="0" w:firstLineChars="0"/>
        <w:jc w:val="both"/>
        <w:textAlignment w:val="auto"/>
        <w:rPr>
          <w:rFonts w:hint="eastAsia" w:ascii="方正小标宋简体" w:hAnsi="仿宋_GB2312" w:eastAsia="方正小标宋简体" w:cs="仿宋_GB2312"/>
          <w:sz w:val="44"/>
          <w:szCs w:val="44"/>
        </w:rPr>
      </w:pPr>
    </w:p>
    <w:p>
      <w:pPr>
        <w:keepNext w:val="0"/>
        <w:keepLines w:val="0"/>
        <w:pageBreakBefore w:val="0"/>
        <w:kinsoku/>
        <w:wordWrap/>
        <w:topLinePunct w:val="0"/>
        <w:autoSpaceDE/>
        <w:autoSpaceDN/>
        <w:bidi w:val="0"/>
        <w:spacing w:line="560" w:lineRule="exact"/>
        <w:textAlignment w:val="auto"/>
      </w:pPr>
      <w:bookmarkStart w:id="0" w:name="_GoBack"/>
      <w:bookmarkEnd w:id="0"/>
    </w:p>
    <w:sectPr>
      <w:pgSz w:w="11906" w:h="16838"/>
      <w:pgMar w:top="1871"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5OWRiNjE0M2YxMmEwMmUwZjNkOGViZjhlNzA5MWQifQ=="/>
  </w:docVars>
  <w:rsids>
    <w:rsidRoot w:val="00000000"/>
    <w:rsid w:val="38902D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autoRedefine/>
    <w:semiHidden/>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styleId="2">
    <w:name w:val="toc 1"/>
    <w:basedOn w:val="1"/>
    <w:next w:val="1"/>
    <w:qFormat/>
    <w:uiPriority w:val="39"/>
    <w:pPr>
      <w:widowControl/>
      <w:spacing w:beforeLines="50" w:afterLines="50"/>
      <w:ind w:hanging="200" w:hangingChars="200"/>
    </w:pPr>
  </w:style>
  <w:style w:type="paragraph" w:styleId="3">
    <w:name w:val="index 6"/>
    <w:basedOn w:val="1"/>
    <w:next w:val="1"/>
    <w:qFormat/>
    <w:uiPriority w:val="0"/>
    <w:pPr>
      <w:ind w:firstLine="840"/>
    </w:pPr>
    <w:rPr>
      <w:rFonts w:ascii="Times New Roman" w:hAnsi="Times New Roman" w:eastAsia="宋体" w:cs="Arial"/>
    </w:rPr>
  </w:style>
  <w:style w:type="paragraph" w:styleId="4">
    <w:name w:val="Body Text"/>
    <w:basedOn w:val="1"/>
    <w:next w:val="1"/>
    <w:qFormat/>
    <w:uiPriority w:val="0"/>
    <w:pPr>
      <w:suppressAutoHyphens/>
      <w:spacing w:after="140" w:line="276" w:lineRule="auto"/>
    </w:pPr>
    <w:rPr>
      <w:rFonts w:ascii="Calibri" w:hAnsi="Calibri" w:eastAsia="宋体" w:cs="Times New Roman"/>
    </w:rPr>
  </w:style>
  <w:style w:type="paragraph" w:styleId="5">
    <w:name w:val="Body Text Indent"/>
    <w:basedOn w:val="1"/>
    <w:next w:val="3"/>
    <w:qFormat/>
    <w:uiPriority w:val="0"/>
    <w:pPr>
      <w:spacing w:after="120"/>
      <w:ind w:left="420" w:leftChars="200"/>
    </w:pPr>
  </w:style>
  <w:style w:type="paragraph" w:styleId="6">
    <w:name w:val="Body Text First Indent"/>
    <w:basedOn w:val="4"/>
    <w:next w:val="1"/>
    <w:qFormat/>
    <w:uiPriority w:val="99"/>
    <w:pPr>
      <w:ind w:firstLine="420" w:firstLineChars="100"/>
    </w:pPr>
  </w:style>
  <w:style w:type="paragraph" w:styleId="7">
    <w:name w:val="Body Text First Indent 2"/>
    <w:basedOn w:val="5"/>
    <w:next w:val="6"/>
    <w:qFormat/>
    <w:uiPriority w:val="0"/>
    <w:pPr>
      <w:ind w:firstLine="420"/>
    </w:pPr>
    <w:rPr>
      <w:rFonts w:ascii="仿宋_GB2312" w:hAnsi="Times New Roman" w:eastAsia="仿宋_GB2312" w:cs="仿宋_GB231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2</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2024-06-06T02:10:20Z</dcterms:created>
  <dc:creator>叮当猫0313</dc:creator>
  <cp:lastModifiedBy>blue</cp:lastModifiedBy>
  <dcterms:modified xsi:type="dcterms:W3CDTF">2024-06-06T02:14:02Z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A39B0F11F13048BA81D72DD64CE40EBD_12</vt:lpwstr>
  </property>
</Properties>
</file>