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  <w:t>山东省人民政府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  <w:t>关于印发2023年“稳中向好、进中提质”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  <w:t>政策清单（第一批）的通知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鲁政发〔2022〕18号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各市人民政府，各县（市、区）人民政府，省政府各部门、各直属机构，各大企业，各高等院校：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为深入学习贯彻习近平新时代中国特色社会主义思想，全面贯彻落实党的二十大精神，深入落实习近平总书记对山东工作重要指示要求，锚定“走在前、开新局”，根据省委经济工作会议部署，聚焦聚力稳住经济基本盘、促进高质量发展，持续巩固“稳中向好、进中提质”良好态势，进一步强化跨周期调节和政策统筹衔接，省委、省政府研究推出《2023年“稳中向好、进中提质”政策清单（第一批）》。第一批政策清单包括2023年新制定的政策和2022年“稳中求进”高质量发展政策清单中2023年延续执行的政策两部分内容。现印发给你们，请认真组织实施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山东省人民政府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2022年12月30日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（此件公开发布）</w:t>
      </w:r>
    </w:p>
    <w:p>
      <w:pPr>
        <w:rPr>
          <w:rStyle w:val="5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Style w:val="5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  <w:t>2023年“稳中向好、进中提质”政策清单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</w:rPr>
        <w:t>（第一批）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u w:val="none"/>
        </w:rPr>
      </w:pPr>
      <w:r>
        <w:rPr>
          <w:rStyle w:val="5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</w:rPr>
        <w:t>一、2023年新制定的政策（共27项）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（一）强化助企纾困力度。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.对于2022年第四季度到期的、因疫情影响暂时遇困的小微企业贷款（含个体工商户和小微企业主经营性贷款），鼓励银行业金融机构与借款人按市场化原则共同协商延期还本付息，延期贷款正常计息，免收罚息，还本付息日期原则上最长可延至2023年6月30日。银行机构要坚持实质性风险判断，不单独因疫情因素下调贷款风险分类，不影响征信记录，避免盲目限贷、抽贷、断贷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（牵头单位：人民银行济南分行、山东银保监局、省地方金融监管局）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2.开展2023年度全省旅行社责任险补贴试点，省财政按照保费不低于50%的比例给予补贴。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（牵头单位：省文化和旅游厅、省财政厅）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3.整合企业国有资产交易登记挂牌手续费、交易佣金和竞价佣金，并按照30%以上的比例降低收费标准，减轻企业制度性交易成本负担。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（牵头单位：省发展改革委、省国资委）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4.鼓励二手车流通规模化发展，对二手车备案销售企业收购后用于再销售的小型、微型载客汽车，转让登记实行单独签注管理，核发临时行车号牌，进一步降低二手车交易登记成本。2023年，全省落实待销售二手车单独签注管理实现全覆盖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（牵头单位：省公安厅）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5.对内河集装箱运输船舶和新能源船舶实施优先过闸，提高通行效率，降低企业物流成本。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（牵头单位：省交通运输厅）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（二）优供给扩需求。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6.按照2022年规模以上工业企业营业收入总量将16个市划分为3个组别，对每个组别2023年规模以上工业增加值增速、规模以上工业技术改造投资增速排名首位的市，分别给予最高500万元一次性奖励。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（牵头单位：省工业和信息化厅、省财政厅）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7.2023年，创建10个工业强县，给予每县不少于2亿元的资金或专项债券支持，统筹用于重大工业转型升级项目及配套基础设施建设。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（牵头单位：省工业和信息化厅、省财政厅）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8.省级财政统筹安排5000万元，对应收账款融资服务平台内应收账款确权金额前10名和同比增速前10名的产业链核心企业、商业汇票签发量前10名和同比增速前10名且现金支付比例不低于前三年平均水平的产业链核心企业、供应链票据签发量年度前20名的产业链核心企业，以及直接接入上海票据交易所供应链票据平台的机构、创新供应链金融产品的金融机构给予资金奖励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（牵头单位：省财政厅、人民银行济南分行）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9.对在省内转化创新药（1类化学药、生物制品和中药）完成I、II、III期临床试验的，经评审，按照研发投入40%的比例，分别给予最高1000万元、2000万元、3000万元资金支持，每个企业每年累计支持额度最高1亿元。对进入国家创新医疗器械特别审查程序的医疗器械产品，经评审，给予最高200万元资金支持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（牵头单位：省科技厅、省财政厅）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10.围绕“十强产业”提升、企业运营需求、核心技术攻关等，实施专利导航项目30项，其中产业类专利导航项目20项、企业类专利导航项目10项，每项分别给予最高40万元、20万元经费支持。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（牵头单位：省市场监管局、省财政厅）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11.深化“惠享山东消费年”活动，聚焦汽车、家电、餐饮等重点领域，举办大型促销活动200场以上；鼓励各市对具有消费引领性的创新模式、创意活动和对消费市场增长有突出贡献的企业给予奖励，对1万平方米以上消费类展会给予一定补贴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（牵头单位：省商务厅）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12.推动中小商贸企业通过连锁经营、线上线下等方式扩大经营规模，引导生产企业产销分离入限纳统，鼓励品牌经营店铺转设法人、商贸个转企等。2022—2023年，省外商贸企业在鲁分支机构转为入库纳统的法人企业后，对其产生的新增财力省级不再分成，由企业所在地财政给予奖励，或采取参股等方式予以支持。鼓励各市对达到一定规模、实现较快增长的新增纳统商贸企业给予一定的资金补助、奖励一定额度的定向消费券等，提高企业入库纳统积极性；省级财政安排2000万元，根据2022年四季度及2023年一季度各市年度纳统企业零售额增量进行激励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（牵头单位：省商务厅、省财政厅）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13.实施智慧社区建设扩面提升行动。2023年支持建设2000个左右的智慧社区，对于建成的基础型和成长型智慧社区，按照单个社区最高10万元的标准给予奖补；对于引领示范作用强、功能完善、惠及范围广的标杆型智慧社区，按照单个社区最高100万元的标准给予奖补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（牵头单位：省大数据局、省民政厅、省财政厅）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14.推进中华文化体验廊道建设，聚焦“十个展示带”，建立廊道建设项目库，在财政经费、金融授信额度、地方政府专项债券等方面予以支持，落实重点项目税收、用地、奖励、补贴等优惠政策；建立市场化多元化投融资机制，鼓励引导社会资本参与廊道建设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（牵头单位：省委宣传部、省发展改革委、省财政厅、省文化和旅游厅、省交通运输厅、省自然资源厅、省地方金融监管局、省税务局、人民银行济南分行、山东银保监局）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（三）加快绿色低碳转型。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15.加快推动30万千瓦以下煤电机组关停并转，鼓励具备条件的机组提前关停退出。对2022—2025年关停退出小煤电机组的企业，每千瓦分别给予50元、40元、20元、10元的财政资金奖励；未按国家规定承担政府性基金附加和交叉补贴的不予奖励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（牵头单位：省能源局、省财政厅）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16.单体项目装机容量小于5万千瓦、接网电压等级不超过110千伏、采用“自发自用、余电上网”模式的分布式燃气机组自发自用电量，自2023年1月1日至2024年12月31日，免收系统备用费。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（牵头单位：省发展改革委、国网山东省电力公司）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17.2023年建设5—7家生态环境科技成果转移转化基地，对获批建设的，每个给予最高50万元奖补。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（牵头单位：省生态环境厅、省科技厅、省财政厅）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18.企业采用符合国家有关低VOCs（挥发性有机物）含量产品规定的涂料、油墨、胶粘剂等，排放浓度稳定达标且排放速率满足相关规定的，相应生产工序可不要求建设末端治理设施。使用的原辅材料VOCs含量（质量比）均低于10%的工序，可不要求采取无组织排放收集和处理措施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（牵头单位：省生态环境厅）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（四）创新要素支撑。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19.强化新型研发机构绩效评价，对年度评价结果为优秀的，省科技创新发展资金以竞争性项目的方式给予200—300万元资金支持。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（牵头单位：省科技厅、省财政厅）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20.根据创投机构团队业务投资理念、领域和业绩表现，在培育创新、带动就业等方面发挥的作用、竞争优势和影响力等，遴选省级创投优秀团队和创业投资品牌领军企业，对企业中符合条件的人才颁发“山东惠才卡”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（牵头单位：省发展改革委、省人力资源社会保障厅）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21.加大对天使投资的支持力度，省级引导基金出资比例由原来最高可出资30%提高至40%，省、市、县（市、区）级政府共同出资比例由最高可出资50%放宽至60%。省新旧动能转换基金投资于省内种子期、初创期的科技型、创新型项目，引导基金在收回实缴出资后，省级引导基金可将全部收益让渡给基金管理机构和其他出资人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22.实施数字政府强基2.0工程，加大基层网络建设支持力度，2023年，省财政对承担区域骨干节点建设任务的市给予最高1000万元补助；选取社会关注度高、应用场景广的4—5个领域，通过大数据比对分析等手段，开展数据创新应用试点示范，对承担试点示范任务的市给予最高500万元奖补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（牵头单位：省大数据局、省财政厅）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（五）保民生兜底线。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23.巩固现有城乡公益性岗位规模，持续加大岗位开发力度，力争2023年新创设城乡公益性岗位60万个。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（牵头单位：省人力资源社会保障厅、省财政厅、省农业农村厅）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24.提高职工和居民医保待遇水平，将城乡居民高血压、糖尿病门诊用药专项保障机制报销比例提高到70%左右，将社区卫生服务机构、乡镇卫生院等基层医疗卫生机构住院医保报销比例提高到85%以上。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（牵头单位：省医保局）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25.建立因病致贫重病患者医疗救助机制，符合条件的因病致贫重病患者，政策范围内个人负担费用超过当年居民人均可支配收入25%以上的部分，按不低于60%比例给予救助。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（牵头单位：省医保局）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26.统筹安排7000万元资金，对符合条件的公共体育场馆免费、低收费开放给予适当补助，支持全民健身工程设施建设，发放体育消费券，支持开展体育惠民消费季活动。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（牵头单位：省体育局、省财政厅）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27.设立1000万元的安全生产督查激励资金，对在落实安全生产“八抓20条”创新措施、加强安全生产监管、防范生产安全事故等方面成效明显的市、县（市、区）予以激励，年度督查激励市不超过6个，市、县（市、区）两级总数不超过16个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（牵头单位：省应急厅）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Style w:val="5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Style w:val="5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</w:rPr>
        <w:t>二、2022年“稳中求进”高质量发展政策清单中2023年延续执行的政策（共214项，见附表）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Style w:val="5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</w:rPr>
        <w:t>附表：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2023年延续执行的政策清单（共214项）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  <w:t>山东省人民政府办公厅2022年12月31日印发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5OWRiNjE0M2YxMmEwMmUwZjNkOGViZjhlNzA5MWQifQ=="/>
  </w:docVars>
  <w:rsids>
    <w:rsidRoot w:val="00000000"/>
    <w:rsid w:val="5E6B58B1"/>
    <w:rsid w:val="66F85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800080"/>
      <w:u w:val="single"/>
    </w:rPr>
  </w:style>
  <w:style w:type="character" w:styleId="7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3772</Words>
  <Characters>4028</Characters>
  <Lines>0</Lines>
  <Paragraphs>0</Paragraphs>
  <TotalTime>8</TotalTime>
  <ScaleCrop>false</ScaleCrop>
  <LinksUpToDate>false</LinksUpToDate>
  <CharactersWithSpaces>4029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2023-01-12T01:43:00Z</dcterms:created>
  <dc:creator>叮当猫0313</dc:creator>
  <cp:lastModifiedBy>blue</cp:lastModifiedBy>
  <dcterms:modified xsi:type="dcterms:W3CDTF">2023-01-12T07:03:04Z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0EBF347B0962433791A6959CBCB0F996</vt:lpwstr>
  </property>
</Properties>
</file>