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val="0"/>
          <w:i w:val="0"/>
          <w:sz w:val="44"/>
          <w:szCs w:val="44"/>
          <w:lang w:val="en-US" w:eastAsia="zh-CN"/>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2024年“促进经济巩固向好、加快绿色低碳</w:t>
      </w:r>
      <w:r>
        <w:rPr>
          <w:rFonts w:hint="eastAsia" w:ascii="方正小标宋简体" w:hAnsi="方正小标宋简体" w:eastAsia="方正小标宋简体" w:cs="方正小标宋简体"/>
          <w:sz w:val="44"/>
          <w:szCs w:val="44"/>
          <w:lang w:eastAsia="zh-CN"/>
        </w:rPr>
        <w:t>高质量</w:t>
      </w:r>
      <w:r>
        <w:rPr>
          <w:rFonts w:hint="eastAsia" w:ascii="方正小标宋简体" w:hAnsi="方正小标宋简体" w:eastAsia="方正小标宋简体" w:cs="方正小标宋简体"/>
          <w:sz w:val="44"/>
          <w:szCs w:val="44"/>
        </w:rPr>
        <w:t>发展”政策清单（第</w:t>
      </w:r>
      <w:r>
        <w:rPr>
          <w:rFonts w:hint="eastAsia" w:ascii="方正小标宋简体" w:hAnsi="方正小标宋简体" w:eastAsia="方正小标宋简体" w:cs="方正小标宋简体"/>
          <w:sz w:val="44"/>
          <w:szCs w:val="44"/>
          <w:lang w:eastAsia="zh-CN"/>
        </w:rPr>
        <w:t>二</w:t>
      </w:r>
      <w:r>
        <w:rPr>
          <w:rFonts w:hint="eastAsia" w:ascii="方正小标宋简体" w:hAnsi="方正小标宋简体" w:eastAsia="方正小标宋简体" w:cs="方正小标宋简体"/>
          <w:sz w:val="44"/>
          <w:szCs w:val="44"/>
        </w:rPr>
        <w:t>批）</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b w:val="0"/>
          <w:i w:val="0"/>
          <w:sz w:val="44"/>
          <w:szCs w:val="44"/>
          <w:lang w:val="en-US" w:eastAsia="zh-CN"/>
        </w:rPr>
        <w:t>政策</w:t>
      </w:r>
      <w:bookmarkStart w:id="0" w:name="_GoBack"/>
      <w:bookmarkEnd w:id="0"/>
      <w:r>
        <w:rPr>
          <w:rFonts w:hint="eastAsia" w:ascii="方正小标宋简体" w:hAnsi="方正小标宋简体" w:eastAsia="方正小标宋简体" w:cs="方正小标宋简体"/>
          <w:b w:val="0"/>
          <w:i w:val="0"/>
          <w:sz w:val="44"/>
          <w:szCs w:val="44"/>
          <w:lang w:val="en-US" w:eastAsia="zh-CN"/>
        </w:rPr>
        <w:t>解读</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b w:val="0"/>
          <w:i w:val="0"/>
          <w:sz w:val="32"/>
          <w:szCs w:val="32"/>
          <w:lang w:val="en-US" w:eastAsia="zh-CN"/>
        </w:rPr>
      </w:pPr>
      <w:r>
        <w:rPr>
          <w:rFonts w:hint="eastAsia" w:ascii="楷体_GB2312" w:hAnsi="楷体_GB2312" w:eastAsia="楷体_GB2312" w:cs="楷体_GB2312"/>
          <w:b w:val="0"/>
          <w:i w:val="0"/>
          <w:sz w:val="32"/>
          <w:szCs w:val="32"/>
          <w:lang w:val="en-US" w:eastAsia="zh-CN"/>
        </w:rPr>
        <w:t>市住房城乡建设局</w:t>
      </w:r>
    </w:p>
    <w:p>
      <w:pPr>
        <w:rPr>
          <w:rFonts w:ascii="等线(中文正文)" w:hAnsi="等线(中文正文)" w:eastAsia="等线(中文正文)" w:cs="等线(中文正文)"/>
          <w:b w:val="0"/>
          <w:i w:val="0"/>
          <w:sz w:val="20"/>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bCs/>
          <w:i w:val="0"/>
          <w:caps w:val="0"/>
          <w:color w:val="333333"/>
          <w:spacing w:val="0"/>
          <w:sz w:val="32"/>
          <w:szCs w:val="32"/>
          <w:u w:val="none"/>
          <w:shd w:val="clear" w:fill="FFFFFF"/>
        </w:rPr>
      </w:pPr>
      <w:r>
        <w:rPr>
          <w:rFonts w:hint="eastAsia" w:ascii="仿宋_GB2312" w:hAnsi="仿宋_GB2312" w:eastAsia="仿宋_GB2312" w:cs="仿宋_GB2312"/>
          <w:b w:val="0"/>
          <w:i w:val="0"/>
          <w:sz w:val="32"/>
          <w:szCs w:val="32"/>
          <w:lang w:eastAsia="zh-CN"/>
        </w:rPr>
        <w:t>主要解读政策清单</w:t>
      </w:r>
      <w:r>
        <w:rPr>
          <w:rFonts w:hint="eastAsia" w:ascii="仿宋_GB2312" w:hAnsi="仿宋_GB2312" w:eastAsia="仿宋_GB2312" w:cs="仿宋_GB2312"/>
          <w:b w:val="0"/>
          <w:i w:val="0"/>
          <w:sz w:val="32"/>
          <w:szCs w:val="32"/>
        </w:rPr>
        <w:t>第三条</w:t>
      </w:r>
      <w:r>
        <w:rPr>
          <w:rFonts w:hint="eastAsia" w:ascii="仿宋_GB2312" w:hAnsi="仿宋_GB2312" w:eastAsia="仿宋_GB2312" w:cs="仿宋_GB2312"/>
          <w:b w:val="0"/>
          <w:i w:val="0"/>
          <w:sz w:val="32"/>
          <w:szCs w:val="32"/>
          <w:lang w:eastAsia="zh-CN"/>
        </w:rPr>
        <w:t>：</w:t>
      </w:r>
      <w:r>
        <w:rPr>
          <w:rFonts w:hint="eastAsia" w:ascii="仿宋_GB2312" w:hAnsi="仿宋_GB2312" w:eastAsia="仿宋_GB2312" w:cs="仿宋_GB2312"/>
          <w:b/>
          <w:bCs/>
          <w:i w:val="0"/>
          <w:caps w:val="0"/>
          <w:color w:val="333333"/>
          <w:spacing w:val="0"/>
          <w:sz w:val="32"/>
          <w:szCs w:val="32"/>
          <w:u w:val="none"/>
          <w:shd w:val="clear" w:fill="FFFFFF"/>
        </w:rPr>
        <w:t>统筹落实中央和省级住建领域设施更新资金</w:t>
      </w:r>
      <w:r>
        <w:rPr>
          <w:rFonts w:hint="eastAsia" w:ascii="宋体" w:hAnsi="宋体" w:eastAsia="宋体" w:cs="宋体"/>
          <w:b/>
          <w:bCs/>
          <w:i w:val="0"/>
          <w:caps w:val="0"/>
          <w:color w:val="333333"/>
          <w:spacing w:val="0"/>
          <w:sz w:val="32"/>
          <w:szCs w:val="32"/>
          <w:u w:val="none"/>
          <w:shd w:val="clear" w:fill="FFFFFF"/>
        </w:rPr>
        <w:t>22</w:t>
      </w:r>
      <w:r>
        <w:rPr>
          <w:rFonts w:hint="eastAsia" w:ascii="仿宋_GB2312" w:hAnsi="仿宋_GB2312" w:eastAsia="仿宋_GB2312" w:cs="仿宋_GB2312"/>
          <w:b/>
          <w:bCs/>
          <w:i w:val="0"/>
          <w:caps w:val="0"/>
          <w:color w:val="333333"/>
          <w:spacing w:val="0"/>
          <w:sz w:val="32"/>
          <w:szCs w:val="32"/>
          <w:u w:val="none"/>
          <w:shd w:val="clear" w:fill="FFFFFF"/>
        </w:rPr>
        <w:t>亿元，支持符合条件的城镇老旧小区实施供水、供热、供气、排水、安防等基础设施改造提升项目，进一步改善城镇居民居住条件。</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i w:val="0"/>
          <w:sz w:val="32"/>
          <w:szCs w:val="32"/>
          <w:lang w:eastAsia="zh-CN"/>
        </w:rPr>
        <w:t>市政方面：</w:t>
      </w:r>
      <w:r>
        <w:rPr>
          <w:rFonts w:hint="eastAsia" w:ascii="仿宋_GB2312" w:hAnsi="仿宋_GB2312" w:eastAsia="仿宋_GB2312" w:cs="仿宋_GB2312"/>
          <w:sz w:val="32"/>
          <w:szCs w:val="32"/>
          <w:lang w:eastAsia="zh-CN"/>
        </w:rPr>
        <w:t>省住建厅</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发改委</w:t>
      </w:r>
      <w:r>
        <w:rPr>
          <w:rFonts w:hint="eastAsia" w:ascii="仿宋_GB2312" w:hAnsi="仿宋_GB2312" w:eastAsia="仿宋_GB2312" w:cs="仿宋_GB2312"/>
          <w:sz w:val="32"/>
          <w:szCs w:val="32"/>
        </w:rPr>
        <w:t>、财政厅、自然资源厅、市场监督管理局、人民银行山东省分行6部门联合印发《山东省推动建筑和市政基础设施领域设备更新工作方案》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确定“既有住宅加装电梯</w:t>
      </w:r>
      <w:r>
        <w:rPr>
          <w:rFonts w:hint="eastAsia" w:ascii="仿宋_GB2312" w:hAnsi="仿宋_GB2312" w:eastAsia="仿宋_GB2312" w:cs="仿宋_GB2312"/>
          <w:sz w:val="32"/>
          <w:szCs w:val="32"/>
          <w:lang w:eastAsia="zh-CN"/>
        </w:rPr>
        <w:t>更新</w:t>
      </w:r>
      <w:r>
        <w:rPr>
          <w:rFonts w:hint="eastAsia" w:ascii="仿宋_GB2312" w:hAnsi="仿宋_GB2312" w:eastAsia="仿宋_GB2312" w:cs="仿宋_GB2312"/>
          <w:sz w:val="32"/>
          <w:szCs w:val="32"/>
        </w:rPr>
        <w:t>、住宅老旧电梯</w:t>
      </w:r>
      <w:r>
        <w:rPr>
          <w:rFonts w:hint="eastAsia" w:ascii="仿宋_GB2312" w:hAnsi="仿宋_GB2312" w:eastAsia="仿宋_GB2312" w:cs="仿宋_GB2312"/>
          <w:sz w:val="32"/>
          <w:szCs w:val="32"/>
          <w:lang w:eastAsia="zh-CN"/>
        </w:rPr>
        <w:t>更新</w:t>
      </w:r>
      <w:r>
        <w:rPr>
          <w:rFonts w:hint="eastAsia" w:ascii="仿宋_GB2312" w:hAnsi="仿宋_GB2312" w:eastAsia="仿宋_GB2312" w:cs="仿宋_GB2312"/>
          <w:sz w:val="32"/>
          <w:szCs w:val="32"/>
        </w:rPr>
        <w:t>、供热设施设备更新、燃气设施设备更新、城市生命线工程建设、环卫设施设备更新、建筑施工设备、建筑节能改造”领域设备</w:t>
      </w:r>
      <w:r>
        <w:rPr>
          <w:rFonts w:hint="eastAsia" w:ascii="仿宋_GB2312" w:hAnsi="仿宋_GB2312" w:eastAsia="仿宋_GB2312" w:cs="仿宋_GB2312"/>
          <w:sz w:val="32"/>
          <w:szCs w:val="32"/>
          <w:lang w:eastAsia="zh-CN"/>
        </w:rPr>
        <w:t>更新，</w:t>
      </w:r>
      <w:r>
        <w:rPr>
          <w:rFonts w:hint="eastAsia" w:ascii="仿宋_GB2312" w:hAnsi="仿宋_GB2312" w:eastAsia="仿宋_GB2312" w:cs="仿宋_GB2312"/>
          <w:sz w:val="32"/>
          <w:szCs w:val="32"/>
        </w:rPr>
        <w:t>明确2024年和未来三年工作任务。</w:t>
      </w:r>
      <w:r>
        <w:rPr>
          <w:rFonts w:hint="eastAsia" w:ascii="仿宋_GB2312" w:hAnsi="仿宋_GB2312" w:eastAsia="仿宋_GB2312" w:cs="仿宋_GB2312"/>
          <w:b w:val="0"/>
          <w:i w:val="0"/>
          <w:sz w:val="32"/>
          <w:szCs w:val="32"/>
        </w:rPr>
        <w:t>市政方面主要是供热、燃气、雨水设施</w:t>
      </w:r>
      <w:r>
        <w:rPr>
          <w:rFonts w:hint="eastAsia" w:ascii="仿宋_GB2312" w:hAnsi="仿宋_GB2312" w:eastAsia="仿宋_GB2312" w:cs="仿宋_GB2312"/>
          <w:b w:val="0"/>
          <w:i w:val="0"/>
          <w:sz w:val="32"/>
          <w:szCs w:val="32"/>
          <w:lang w:val="en-US" w:eastAsia="zh-CN"/>
        </w:rPr>
        <w:t>三部分</w:t>
      </w:r>
      <w:r>
        <w:rPr>
          <w:rFonts w:hint="eastAsia" w:ascii="仿宋_GB2312" w:hAnsi="仿宋_GB2312" w:eastAsia="仿宋_GB2312" w:cs="仿宋_GB2312"/>
          <w:b w:val="0"/>
          <w:i w:val="0"/>
          <w:sz w:val="32"/>
          <w:szCs w:val="32"/>
        </w:rPr>
        <w:t>。</w:t>
      </w:r>
      <w:r>
        <w:rPr>
          <w:rFonts w:hint="eastAsia" w:ascii="仿宋_GB2312" w:hAnsi="仿宋_GB2312" w:eastAsia="仿宋_GB2312" w:cs="仿宋_GB2312"/>
          <w:sz w:val="32"/>
          <w:szCs w:val="32"/>
          <w:lang w:eastAsia="zh-CN"/>
        </w:rPr>
        <w:t>供热主要包括燃煤锅炉清洁替代、长输管网建设、耗能、节能、安防设备及智慧供热、小区换热站设备。燃气主要包括燃气管道、厂站设施、燃气具及配件、用户端安全措施三件套、经营单位熄火保护装置、液化气厂站标准化更新、不符合标准的钢瓶、燃气智能化等设备。雨水设施主要包括</w:t>
      </w:r>
      <w:r>
        <w:rPr>
          <w:rFonts w:hint="eastAsia" w:ascii="仿宋_GB2312" w:hAnsi="仿宋_GB2312" w:eastAsia="仿宋_GB2312" w:cs="仿宋_GB2312"/>
          <w:sz w:val="32"/>
          <w:szCs w:val="32"/>
          <w:lang w:val="en-US" w:eastAsia="zh-CN"/>
        </w:rPr>
        <w:t>城市排水防涝体系中老旧设备更新改造</w:t>
      </w:r>
      <w:r>
        <w:rPr>
          <w:rFonts w:hint="eastAsia" w:ascii="仿宋_GB2312" w:hAnsi="仿宋_GB2312" w:eastAsia="仿宋_GB2312" w:cs="仿宋_GB2312"/>
          <w:sz w:val="32"/>
          <w:szCs w:val="32"/>
          <w:lang w:eastAsia="zh-CN"/>
        </w:rPr>
        <w:t>，以及管网、桥梁隧道、窨井盖等重点部位加装物联感知设备。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i w:val="0"/>
          <w:sz w:val="32"/>
          <w:szCs w:val="32"/>
        </w:rPr>
        <w:t>资金方面主要是统筹现有资金渠道</w:t>
      </w:r>
      <w:r>
        <w:rPr>
          <w:rFonts w:hint="eastAsia" w:ascii="仿宋_GB2312" w:hAnsi="仿宋_GB2312" w:eastAsia="仿宋_GB2312" w:cs="仿宋_GB2312"/>
          <w:b w:val="0"/>
          <w:i w:val="0"/>
          <w:sz w:val="32"/>
          <w:szCs w:val="32"/>
          <w:lang w:eastAsia="zh-CN"/>
        </w:rPr>
        <w:t>：</w:t>
      </w:r>
      <w:r>
        <w:rPr>
          <w:rFonts w:hint="eastAsia" w:ascii="仿宋_GB2312" w:hAnsi="仿宋_GB2312" w:eastAsia="仿宋_GB2312" w:cs="仿宋_GB2312"/>
          <w:b w:val="0"/>
          <w:i w:val="0"/>
          <w:sz w:val="32"/>
          <w:szCs w:val="32"/>
        </w:rPr>
        <w:t>一是争取燃气等老化管道更新改造中央预算内投资。二是城市更新清洁取暖等中央财政专项资金。三是符合条件的设备更新项目纳入地方政府专项债券和超长期国债支持范围。</w:t>
      </w:r>
      <w:r>
        <w:rPr>
          <w:rFonts w:hint="eastAsia" w:ascii="仿宋_GB2312" w:hAnsi="仿宋_GB2312" w:eastAsia="仿宋_GB2312" w:cs="仿宋_GB2312"/>
          <w:b w:val="0"/>
          <w:i w:val="0"/>
          <w:sz w:val="32"/>
          <w:szCs w:val="32"/>
          <w:lang w:eastAsia="zh-CN"/>
        </w:rPr>
        <w:t>另外还有</w:t>
      </w:r>
      <w:r>
        <w:rPr>
          <w:rFonts w:hint="eastAsia" w:ascii="仿宋_GB2312" w:hAnsi="仿宋_GB2312" w:eastAsia="仿宋_GB2312" w:cs="仿宋_GB2312"/>
          <w:b w:val="0"/>
          <w:i w:val="0"/>
          <w:sz w:val="32"/>
          <w:szCs w:val="32"/>
        </w:rPr>
        <w:t>贴息</w:t>
      </w:r>
      <w:r>
        <w:rPr>
          <w:rFonts w:hint="eastAsia" w:ascii="仿宋_GB2312" w:hAnsi="仿宋_GB2312" w:eastAsia="仿宋_GB2312" w:cs="仿宋_GB2312"/>
          <w:b w:val="0"/>
          <w:i w:val="0"/>
          <w:sz w:val="32"/>
          <w:szCs w:val="32"/>
          <w:lang w:eastAsia="zh-CN"/>
        </w:rPr>
        <w:t>、</w:t>
      </w:r>
      <w:r>
        <w:rPr>
          <w:rFonts w:hint="eastAsia" w:ascii="仿宋_GB2312" w:hAnsi="仿宋_GB2312" w:eastAsia="仿宋_GB2312" w:cs="仿宋_GB2312"/>
          <w:b w:val="0"/>
          <w:i w:val="0"/>
          <w:sz w:val="32"/>
          <w:szCs w:val="32"/>
        </w:rPr>
        <w:t>融资等金融支撑。</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 w:eastAsia="zh-CN"/>
        </w:rPr>
      </w:pPr>
      <w:r>
        <w:rPr>
          <w:rFonts w:hint="eastAsia" w:ascii="仿宋_GB2312" w:hAnsi="仿宋_GB2312" w:eastAsia="仿宋_GB2312" w:cs="仿宋_GB2312"/>
          <w:b/>
          <w:bCs/>
          <w:i w:val="0"/>
          <w:sz w:val="32"/>
          <w:szCs w:val="32"/>
          <w:lang w:eastAsia="zh-CN"/>
        </w:rPr>
        <w:t>老旧小区改造方面：</w:t>
      </w:r>
      <w:r>
        <w:rPr>
          <w:rFonts w:hint="eastAsia" w:ascii="仿宋_GB2312" w:hAnsi="仿宋_GB2312" w:eastAsia="仿宋_GB2312" w:cs="仿宋_GB2312"/>
          <w:sz w:val="32"/>
          <w:szCs w:val="32"/>
          <w:lang w:val="en" w:eastAsia="zh-CN"/>
        </w:rPr>
        <w:t>围绕惠民生、优环境，提升宜居水平，稳步推进老旧小区改造，完善精致城市建设短板。</w:t>
      </w:r>
      <w:r>
        <w:rPr>
          <w:rFonts w:hint="eastAsia" w:ascii="仿宋_GB2312" w:hAnsi="仿宋_GB2312" w:eastAsia="仿宋_GB2312" w:cs="仿宋_GB2312"/>
          <w:i w:val="0"/>
          <w:caps w:val="0"/>
          <w:color w:val="000000"/>
          <w:spacing w:val="0"/>
          <w:sz w:val="32"/>
          <w:szCs w:val="32"/>
          <w:shd w:val="clear" w:color="auto" w:fill="FFFFFF"/>
          <w:lang w:val="en-US" w:eastAsia="zh-CN"/>
        </w:rPr>
        <w:t>2024年，按照省住建厅总体工作要求，</w:t>
      </w:r>
      <w:r>
        <w:rPr>
          <w:rFonts w:hint="eastAsia" w:ascii="仿宋_GB2312" w:hAnsi="仿宋_GB2312" w:eastAsia="仿宋_GB2312" w:cs="仿宋_GB2312"/>
          <w:i w:val="0"/>
          <w:caps w:val="0"/>
          <w:color w:val="000000"/>
          <w:spacing w:val="0"/>
          <w:sz w:val="32"/>
          <w:szCs w:val="32"/>
          <w:shd w:val="clear" w:color="auto" w:fill="FFFFFF"/>
        </w:rPr>
        <w:t>聚焦为民、便民、安民，</w:t>
      </w:r>
      <w:r>
        <w:rPr>
          <w:rFonts w:hint="eastAsia" w:ascii="仿宋_GB2312" w:hAnsi="仿宋_GB2312" w:eastAsia="仿宋_GB2312" w:cs="仿宋_GB2312"/>
          <w:i w:val="0"/>
          <w:caps w:val="0"/>
          <w:color w:val="000000"/>
          <w:spacing w:val="0"/>
          <w:sz w:val="32"/>
          <w:szCs w:val="32"/>
          <w:shd w:val="clear" w:color="auto" w:fill="FFFFFF"/>
          <w:lang w:eastAsia="zh-CN"/>
        </w:rPr>
        <w:t>坚持</w:t>
      </w:r>
      <w:r>
        <w:rPr>
          <w:rFonts w:hint="eastAsia" w:ascii="仿宋_GB2312" w:hAnsi="仿宋_GB2312" w:eastAsia="仿宋_GB2312" w:cs="仿宋_GB2312"/>
          <w:sz w:val="32"/>
          <w:szCs w:val="32"/>
        </w:rPr>
        <w:t>早规划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早设计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早开工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早部署，</w:t>
      </w:r>
      <w:r>
        <w:rPr>
          <w:rFonts w:hint="eastAsia" w:ascii="仿宋_GB2312" w:hAnsi="仿宋_GB2312" w:eastAsia="仿宋_GB2312" w:cs="仿宋_GB2312"/>
          <w:i w:val="0"/>
          <w:caps w:val="0"/>
          <w:color w:val="000000"/>
          <w:spacing w:val="0"/>
          <w:sz w:val="32"/>
          <w:szCs w:val="32"/>
          <w:shd w:val="clear" w:color="auto" w:fill="FFFFFF"/>
          <w:lang w:val="en-US" w:eastAsia="zh-CN"/>
        </w:rPr>
        <w:t>争取到中央财政补助资金4943万元、省级财政补助资金2071万元，实施</w:t>
      </w:r>
      <w:r>
        <w:rPr>
          <w:rFonts w:hint="eastAsia" w:ascii="仿宋_GB2312" w:hAnsi="仿宋_GB2312" w:eastAsia="仿宋_GB2312" w:cs="仿宋_GB2312"/>
          <w:sz w:val="32"/>
          <w:szCs w:val="32"/>
          <w:lang w:eastAsia="zh-CN"/>
        </w:rPr>
        <w:t>全市</w:t>
      </w:r>
      <w:r>
        <w:rPr>
          <w:rFonts w:hint="eastAsia" w:ascii="仿宋_GB2312" w:hAnsi="仿宋_GB2312" w:eastAsia="仿宋_GB2312" w:cs="仿宋_GB2312"/>
          <w:i w:val="0"/>
          <w:caps w:val="0"/>
          <w:color w:val="000000"/>
          <w:spacing w:val="0"/>
          <w:sz w:val="32"/>
          <w:szCs w:val="32"/>
          <w:shd w:val="clear" w:color="auto" w:fill="FFFFFF"/>
          <w:lang w:val="en-US" w:eastAsia="zh-CN"/>
        </w:rPr>
        <w:t>82个老旧小区、3.32万户改造计划。</w:t>
      </w:r>
      <w:r>
        <w:rPr>
          <w:rFonts w:hint="eastAsia" w:ascii="仿宋_GB2312" w:hAnsi="仿宋_GB2312" w:eastAsia="仿宋_GB2312" w:cs="仿宋_GB2312"/>
          <w:sz w:val="32"/>
          <w:szCs w:val="32"/>
          <w:lang w:eastAsia="zh-CN"/>
        </w:rPr>
        <w:t>重点</w:t>
      </w:r>
      <w:r>
        <w:rPr>
          <w:rFonts w:hint="eastAsia" w:ascii="仿宋_GB2312" w:hAnsi="仿宋_GB2312" w:eastAsia="仿宋_GB2312" w:cs="仿宋_GB2312"/>
          <w:sz w:val="32"/>
          <w:szCs w:val="32"/>
        </w:rPr>
        <w:t>实施道路</w:t>
      </w:r>
      <w:r>
        <w:rPr>
          <w:rFonts w:hint="eastAsia" w:ascii="仿宋_GB2312" w:hAnsi="仿宋_GB2312" w:eastAsia="仿宋_GB2312" w:cs="仿宋_GB2312"/>
          <w:sz w:val="32"/>
          <w:szCs w:val="32"/>
          <w:lang w:eastAsia="zh-CN"/>
        </w:rPr>
        <w:t>提级</w:t>
      </w:r>
      <w:r>
        <w:rPr>
          <w:rFonts w:hint="eastAsia" w:ascii="仿宋_GB2312" w:hAnsi="仿宋_GB2312" w:eastAsia="仿宋_GB2312" w:cs="仿宋_GB2312"/>
          <w:sz w:val="32"/>
          <w:szCs w:val="32"/>
        </w:rPr>
        <w:t>硬化、绿化</w:t>
      </w:r>
      <w:r>
        <w:rPr>
          <w:rFonts w:hint="eastAsia" w:ascii="仿宋_GB2312" w:hAnsi="仿宋_GB2312" w:eastAsia="仿宋_GB2312" w:cs="仿宋_GB2312"/>
          <w:sz w:val="32"/>
          <w:szCs w:val="32"/>
          <w:lang w:eastAsia="zh-CN"/>
        </w:rPr>
        <w:t>实用性改造</w:t>
      </w:r>
      <w:r>
        <w:rPr>
          <w:rFonts w:hint="eastAsia" w:ascii="仿宋_GB2312" w:hAnsi="仿宋_GB2312" w:eastAsia="仿宋_GB2312" w:cs="仿宋_GB2312"/>
          <w:sz w:val="32"/>
          <w:szCs w:val="32"/>
        </w:rPr>
        <w:t>提升、雨污管网</w:t>
      </w:r>
      <w:r>
        <w:rPr>
          <w:rFonts w:hint="eastAsia" w:ascii="仿宋_GB2312" w:hAnsi="仿宋_GB2312" w:eastAsia="仿宋_GB2312" w:cs="仿宋_GB2312"/>
          <w:sz w:val="32"/>
          <w:szCs w:val="32"/>
          <w:lang w:eastAsia="zh-CN"/>
        </w:rPr>
        <w:t>分流</w:t>
      </w:r>
      <w:r>
        <w:rPr>
          <w:rFonts w:hint="eastAsia" w:ascii="仿宋_GB2312" w:hAnsi="仿宋_GB2312" w:eastAsia="仿宋_GB2312" w:cs="仿宋_GB2312"/>
          <w:sz w:val="32"/>
          <w:szCs w:val="32"/>
        </w:rPr>
        <w:t>改造等，同步推进停车位、垃圾分类设施、</w:t>
      </w:r>
      <w:r>
        <w:rPr>
          <w:rFonts w:hint="eastAsia" w:ascii="仿宋_GB2312" w:hAnsi="仿宋_GB2312" w:eastAsia="仿宋_GB2312" w:cs="仿宋_GB2312"/>
          <w:sz w:val="32"/>
          <w:szCs w:val="32"/>
          <w:lang w:eastAsia="zh-CN"/>
        </w:rPr>
        <w:t>适老化</w:t>
      </w:r>
      <w:r>
        <w:rPr>
          <w:rFonts w:hint="eastAsia" w:ascii="仿宋_GB2312" w:hAnsi="仿宋_GB2312" w:eastAsia="仿宋_GB2312" w:cs="仿宋_GB2312"/>
          <w:sz w:val="32"/>
          <w:szCs w:val="32"/>
        </w:rPr>
        <w:t>等设施建设，</w:t>
      </w:r>
      <w:r>
        <w:rPr>
          <w:rFonts w:hint="eastAsia" w:ascii="仿宋_GB2312" w:hAnsi="仿宋_GB2312" w:eastAsia="仿宋_GB2312" w:cs="仿宋_GB2312"/>
          <w:sz w:val="32"/>
          <w:szCs w:val="32"/>
          <w:lang w:eastAsia="zh-CN"/>
        </w:rPr>
        <w:t>结合居民美好生活需求和环境实际情况，</w:t>
      </w:r>
      <w:r>
        <w:rPr>
          <w:rFonts w:hint="eastAsia" w:ascii="仿宋_GB2312" w:hAnsi="仿宋_GB2312" w:eastAsia="仿宋_GB2312" w:cs="仿宋_GB2312"/>
          <w:i w:val="0"/>
          <w:caps w:val="0"/>
          <w:color w:val="000000"/>
          <w:spacing w:val="0"/>
          <w:sz w:val="32"/>
          <w:szCs w:val="32"/>
          <w:shd w:val="clear" w:color="auto" w:fill="FFFFFF"/>
        </w:rPr>
        <w:t>精准补短板、强弱项，全面提升城镇老旧小区居住环境、设施条件和服务功能</w:t>
      </w:r>
      <w:r>
        <w:rPr>
          <w:rFonts w:hint="eastAsia" w:ascii="仿宋_GB2312" w:hAnsi="仿宋_GB2312" w:eastAsia="仿宋_GB2312" w:cs="仿宋_GB2312"/>
          <w:i w:val="0"/>
          <w:caps w:val="0"/>
          <w:color w:val="000000"/>
          <w:spacing w:val="0"/>
          <w:sz w:val="32"/>
          <w:szCs w:val="32"/>
          <w:shd w:val="clear" w:color="auto" w:fill="FFFFFF"/>
          <w:lang w:eastAsia="zh-CN"/>
        </w:rPr>
        <w:t>，夯实“精致城市幸福威海”基础配套设施建设的前沿工作，打造宜居宜业宜游的城市精致空间</w:t>
      </w:r>
      <w:r>
        <w:rPr>
          <w:rFonts w:hint="eastAsia" w:ascii="仿宋_GB2312" w:hAnsi="仿宋_GB2312" w:eastAsia="仿宋_GB2312" w:cs="仿宋_GB2312"/>
          <w:i w:val="0"/>
          <w:caps w:val="0"/>
          <w:color w:val="000000"/>
          <w:spacing w:val="0"/>
          <w:sz w:val="32"/>
          <w:szCs w:val="32"/>
          <w:shd w:val="clear" w:color="auto" w:fill="FFFFFF"/>
        </w:rPr>
        <w:t>。</w:t>
      </w:r>
    </w:p>
    <w:p>
      <w:pPr>
        <w:pStyle w:val="7"/>
        <w:keepNext w:val="0"/>
        <w:keepLines w:val="0"/>
        <w:pageBreakBefore w:val="0"/>
        <w:widowControl w:val="0"/>
        <w:kinsoku/>
        <w:wordWrap/>
        <w:overflowPunct w:val="0"/>
        <w:topLinePunct w:val="0"/>
        <w:autoSpaceDE/>
        <w:autoSpaceDN/>
        <w:bidi w:val="0"/>
        <w:adjustRightInd w:val="0"/>
        <w:snapToGrid w:val="0"/>
        <w:spacing w:after="0" w:line="560" w:lineRule="exact"/>
        <w:ind w:left="0" w:leftChars="0" w:firstLine="0" w:firstLineChars="0"/>
        <w:jc w:val="both"/>
        <w:textAlignment w:val="auto"/>
        <w:rPr>
          <w:rFonts w:hint="eastAsia" w:ascii="方正小标宋简体" w:hAnsi="仿宋_GB2312" w:eastAsia="方正小标宋简体" w:cs="仿宋_GB2312"/>
          <w:sz w:val="44"/>
          <w:szCs w:val="44"/>
        </w:rPr>
      </w:pPr>
    </w:p>
    <w:p/>
    <w:sectPr>
      <w:pgSz w:w="11906" w:h="16838"/>
      <w:pgMar w:top="187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等线(中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7FEF20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39"/>
    <w:pPr>
      <w:widowControl/>
      <w:spacing w:beforeLines="50" w:afterLines="50"/>
      <w:ind w:hanging="200" w:hangingChars="200"/>
    </w:pPr>
  </w:style>
  <w:style w:type="paragraph" w:styleId="3">
    <w:name w:val="index 6"/>
    <w:basedOn w:val="1"/>
    <w:next w:val="1"/>
    <w:qFormat/>
    <w:uiPriority w:val="0"/>
    <w:pPr>
      <w:ind w:firstLine="840"/>
    </w:pPr>
    <w:rPr>
      <w:rFonts w:ascii="Times New Roman" w:hAnsi="Times New Roman" w:eastAsia="宋体" w:cs="Arial"/>
    </w:rPr>
  </w:style>
  <w:style w:type="paragraph" w:styleId="4">
    <w:name w:val="Body Text"/>
    <w:basedOn w:val="1"/>
    <w:next w:val="1"/>
    <w:qFormat/>
    <w:uiPriority w:val="0"/>
    <w:pPr>
      <w:suppressAutoHyphens/>
      <w:spacing w:after="140" w:line="276" w:lineRule="auto"/>
    </w:pPr>
    <w:rPr>
      <w:rFonts w:ascii="Calibri" w:hAnsi="Calibri" w:eastAsia="宋体" w:cs="Times New Roman"/>
    </w:rPr>
  </w:style>
  <w:style w:type="paragraph" w:styleId="5">
    <w:name w:val="Body Text Indent"/>
    <w:basedOn w:val="1"/>
    <w:next w:val="3"/>
    <w:qFormat/>
    <w:uiPriority w:val="0"/>
    <w:pPr>
      <w:spacing w:after="120"/>
      <w:ind w:left="420" w:leftChars="200"/>
    </w:pPr>
  </w:style>
  <w:style w:type="paragraph" w:styleId="6">
    <w:name w:val="Body Text First Indent"/>
    <w:basedOn w:val="4"/>
    <w:next w:val="1"/>
    <w:qFormat/>
    <w:uiPriority w:val="99"/>
    <w:pPr>
      <w:ind w:firstLine="420" w:firstLineChars="100"/>
    </w:pPr>
  </w:style>
  <w:style w:type="paragraph" w:styleId="7">
    <w:name w:val="Body Text First Indent 2"/>
    <w:basedOn w:val="5"/>
    <w:next w:val="6"/>
    <w:qFormat/>
    <w:uiPriority w:val="0"/>
    <w:pPr>
      <w:ind w:firstLine="420"/>
    </w:pPr>
    <w:rPr>
      <w:rFonts w:ascii="仿宋_GB2312" w:hAnsi="Times New Roman" w:eastAsia="仿宋_GB2312" w:cs="仿宋_GB231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2024-06-06T02:09:06Z</dcterms:created>
  <dc:creator>叮当猫0313</dc:creator>
  <cp:lastModifiedBy>blue</cp:lastModifiedBy>
  <dcterms:modified xsi:type="dcterms:W3CDTF">2024-06-06T02:09:57Z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9BB7D7CF8F2A46C0894B216DAD2F41BA_12</vt:lpwstr>
  </property>
</Properties>
</file>