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lang w:val="zh-CN"/>
        </w:rPr>
      </w:pPr>
      <w:bookmarkStart w:id="0" w:name="_Toc15300"/>
      <w:r>
        <w:rPr>
          <w:rFonts w:hint="eastAsia" w:ascii="方正小标宋简体" w:hAnsi="方正小标宋简体" w:eastAsia="方正小标宋简体" w:cs="方正小标宋简体"/>
          <w:b w:val="0"/>
          <w:bCs/>
          <w:lang w:val="zh-CN"/>
        </w:rPr>
        <w:t>技术改造有关政策解读</w:t>
      </w:r>
      <w:bookmarkEnd w:id="0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zh-CN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val="en-US" w:eastAsia="zh-CN"/>
        </w:rPr>
        <w:t>工业和信息化局</w:t>
      </w:r>
      <w:bookmarkStart w:id="1" w:name="_GoBack"/>
      <w:bookmarkEnd w:id="1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zh-CN"/>
        </w:rPr>
        <w:t>技术改造具有技术新、投资省、用地少、见效快、效益好的特点，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是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</w:rPr>
        <w:t>实现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技术迭代、产品升级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</w:rPr>
        <w:t>、提高生产效率、推进节能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降碳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</w:rPr>
        <w:t>的重要途径。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今年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省里提出，要继续开展工业技改提级行动，筛选实施1200个重大技改项目，统筹不少于5亿元资金，创新实施技术改造设备奖补、股权投资、技改专项贷等支持政策，引导企业加大技改投入。下面我详细解读一下有关政策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一、技术改造设备奖补。</w:t>
      </w:r>
      <w:r>
        <w:rPr>
          <w:rFonts w:hint="eastAsia" w:ascii="仿宋_GB2312" w:hAnsi="仿宋_GB2312" w:eastAsia="仿宋_GB2312" w:cs="仿宋_GB2312"/>
          <w:sz w:val="32"/>
          <w:szCs w:val="32"/>
        </w:rPr>
        <w:t>围绕省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“十强”产业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重点行业领域，应用新一代信息技术改造建设的智能化工厂、数字化车间以及实施基于工业互联网改造等技术改造项目。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完成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设备、配套软硬件系统的单项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购置费10万元以上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，且总额不低于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100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(去年要求不低于100万元)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按照投资额不高于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10%的比例给予支持，最高不超过500万元。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项目逐级上报省工信厅后，由省工信厅组织审核并确定资金分配方案。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二、技改专项贷。对纳入省“技改专项贷”项目库的项目，省财政按照银行最新一期的一年期贷款市场报价利率的35%给予贴息支持，单个项目的贴息上限为2000万元，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同一项目申请财政贴息不超过3年。对融资担保公司为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“技改专项贷”项目提供担保且担保费率不超过1%的，省财政按不超过担保金额的0.5%给予补助，单个企业项目担保补助上限为100万元，期限不超过3年。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要求项目总投资5000万元以上的，且贷款性质必须用于项目建设。项目逐级上报省工信厅后，由省工信厅会同财政、税务、人民银行等部门进行联合评审，确定资金分配方案。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三、股权投资。项目符合产业政策，原则上总投资5000万元以上，企业最近两年平均营业收入不低于1亿元且净利润不低于1000万元，或控股股东为企业法人且控股股东归母净利润不低于5000万元；公司实收资本不低于2000万元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项目逐级上报省工信厅后，由省财政厅委托第三方机构对企业进行尽调，最终研究确定股权投资方案。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以上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企业在建或新开工的技术改造项目，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均须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依法办理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备案、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环保、安全、节能、土地、规划等相关手续。企业未被列入严重失信主体名单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且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符合财政涉企资金“绿色门槛”制度要求。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具体细则以省申报通知为准。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color w:val="auto"/>
          <w:kern w:val="2"/>
          <w:sz w:val="32"/>
          <w:szCs w:val="32"/>
          <w:lang w:val="en-US" w:eastAsia="zh-CN" w:bidi="ar-SA"/>
        </w:rPr>
        <w:t>下步市工信局将加大项目储备和建设力度，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谋划实施一批500万元以上技术改造项目，形成“开工一批、竣工一批、储备一批、谋划一批”的梯次推进格局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" w:eastAsia="zh-CN"/>
        </w:rPr>
        <w:t>综合运用调度、督导、服务等手段，帮助企业解决困难问题</w:t>
      </w:r>
      <w:r>
        <w:rPr>
          <w:rFonts w:hint="eastAsia" w:ascii="仿宋_GB2312" w:hAnsi="仿宋_GB2312" w:eastAsia="仿宋_GB2312" w:cs="仿宋_GB2312"/>
          <w:b w:val="0"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全力保障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技改项目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早开工、快建设、早投产，打造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工业经济新的增长点。对有智能化改造需求的项目，分行业组织服务商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开展“一对一”免费诊断活动，为企业智能化改造提供技术支撑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color w:val="auto"/>
          <w:kern w:val="2"/>
          <w:sz w:val="32"/>
          <w:szCs w:val="32"/>
          <w:lang w:val="en-US" w:eastAsia="zh-CN" w:bidi="ar-SA"/>
        </w:rPr>
        <w:t>深入研究国家、省关于产业基础再造、智能化改造设备补助、技改专项贷、股权投资基金等政策，主动帮助企业谋划争取国家和省政策资金支持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5OWRiNjE0M2YxMmEwMmUwZjNkOGViZjhlNzA5MWQifQ=="/>
  </w:docVars>
  <w:rsids>
    <w:rsidRoot w:val="00000000"/>
    <w:rsid w:val="100B1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ind w:left="1440" w:leftChars="700" w:right="700" w:rightChars="700"/>
    </w:pPr>
  </w:style>
  <w:style w:type="paragraph" w:styleId="4">
    <w:name w:val="Normal Indent"/>
    <w:basedOn w:val="1"/>
    <w:qFormat/>
    <w:uiPriority w:val="0"/>
    <w:pPr>
      <w:ind w:firstLine="420" w:firstLineChars="200"/>
    </w:pPr>
  </w:style>
  <w:style w:type="paragraph" w:styleId="5">
    <w:name w:val="Plain Text"/>
    <w:basedOn w:val="1"/>
    <w:next w:val="1"/>
    <w:qFormat/>
    <w:uiPriority w:val="0"/>
    <w:rPr>
      <w:rFonts w:ascii="宋体" w:hAnsi="Courier New" w:cs="Courier New"/>
      <w:szCs w:val="21"/>
    </w:rPr>
  </w:style>
  <w:style w:type="character" w:styleId="8">
    <w:name w:val="Emphasis"/>
    <w:basedOn w:val="7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2023-05-23T03:19:03Z</dcterms:created>
  <dc:creator>叮当猫0313</dc:creator>
  <cp:lastModifiedBy>blue</cp:lastModifiedBy>
  <dcterms:modified xsi:type="dcterms:W3CDTF">2023-05-23T03:20:03Z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A4DBA835FB174D0B923F6552354D33F4_12</vt:lpwstr>
  </property>
</Properties>
</file>