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eastAsia="黑体"/>
          <w:sz w:val="32"/>
          <w:szCs w:val="32"/>
        </w:rPr>
      </w:pPr>
      <w:bookmarkStart w:id="0" w:name="_GoBack"/>
      <w:bookmarkEnd w:id="0"/>
      <w:r>
        <w:rPr>
          <w:rFonts w:eastAsia="黑体"/>
          <w:sz w:val="32"/>
          <w:szCs w:val="32"/>
        </w:rPr>
        <w:t>附件</w:t>
      </w:r>
      <w:r>
        <w:rPr>
          <w:rFonts w:hint="eastAsia" w:eastAsia="黑体"/>
          <w:sz w:val="32"/>
          <w:szCs w:val="32"/>
        </w:rPr>
        <w:t>2</w:t>
      </w:r>
    </w:p>
    <w:p>
      <w:pPr>
        <w:rPr>
          <w:rFonts w:eastAsia="楷体_GB2312"/>
          <w:sz w:val="32"/>
          <w:szCs w:val="32"/>
        </w:rPr>
      </w:pPr>
    </w:p>
    <w:p>
      <w:pPr>
        <w:ind w:firstLine="163" w:firstLineChars="50"/>
        <w:jc w:val="center"/>
        <w:rPr>
          <w:b/>
          <w:w w:val="90"/>
          <w:sz w:val="36"/>
          <w:szCs w:val="36"/>
        </w:rPr>
      </w:pPr>
      <w:r>
        <w:rPr>
          <w:b/>
          <w:w w:val="90"/>
          <w:sz w:val="36"/>
          <w:szCs w:val="36"/>
        </w:rPr>
        <w:t>涉及占用永久基本农田的重大建设项目省级自然资源</w:t>
      </w:r>
    </w:p>
    <w:p>
      <w:pPr>
        <w:ind w:firstLine="163" w:firstLineChars="50"/>
        <w:jc w:val="center"/>
        <w:rPr>
          <w:b/>
          <w:w w:val="90"/>
          <w:sz w:val="36"/>
          <w:szCs w:val="36"/>
        </w:rPr>
      </w:pPr>
      <w:r>
        <w:rPr>
          <w:b/>
          <w:w w:val="90"/>
          <w:sz w:val="36"/>
          <w:szCs w:val="36"/>
        </w:rPr>
        <w:t>主管部门用地预审初审报告格式</w:t>
      </w:r>
    </w:p>
    <w:p>
      <w:pPr>
        <w:jc w:val="center"/>
      </w:pPr>
    </w:p>
    <w:p>
      <w:pPr>
        <w:jc w:val="center"/>
      </w:pPr>
    </w:p>
    <w:p>
      <w:pPr>
        <w:jc w:val="center"/>
      </w:pPr>
    </w:p>
    <w:p>
      <w:pPr>
        <w:jc w:val="center"/>
        <w:rPr>
          <w:b/>
          <w:sz w:val="44"/>
          <w:szCs w:val="44"/>
        </w:rPr>
      </w:pPr>
      <w:r>
        <w:rPr>
          <w:b/>
          <w:sz w:val="44"/>
          <w:szCs w:val="44"/>
        </w:rPr>
        <w:t>**（省级自然资源主管部门）文件</w:t>
      </w:r>
    </w:p>
    <w:p/>
    <w:p>
      <w:pPr>
        <w:rPr>
          <w:rFonts w:eastAsia="仿宋_GB2312"/>
          <w:sz w:val="32"/>
          <w:szCs w:val="32"/>
        </w:rPr>
      </w:pPr>
      <w:r>
        <w:rPr>
          <w:rFonts w:eastAsia="仿宋_GB2312"/>
          <w:sz w:val="32"/>
          <w:szCs w:val="32"/>
        </w:rPr>
        <w:t>****（文号）                         签发人：</w:t>
      </w:r>
    </w:p>
    <w:p>
      <w: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5257800" cy="0"/>
                <wp:effectExtent l="0" t="13970" r="0" b="16510"/>
                <wp:wrapNone/>
                <wp:docPr id="1" name="直接连接符 1"/>
                <wp:cNvGraphicFramePr/>
                <a:graphic xmlns:a="http://schemas.openxmlformats.org/drawingml/2006/main">
                  <a:graphicData uri="http://schemas.microsoft.com/office/word/2010/wordprocessingShape">
                    <wps:wsp>
                      <wps:cNvCnPr/>
                      <wps:spPr>
                        <a:xfrm>
                          <a:off x="0" y="0"/>
                          <a:ext cx="5257800" cy="0"/>
                        </a:xfrm>
                        <a:prstGeom prst="line">
                          <a:avLst/>
                        </a:prstGeom>
                        <a:ln w="285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414pt;z-index:251659264;mso-width-relative:page;mso-height-relative:page;" filled="f" stroked="t" coordsize="21600,21600" o:gfxdata="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HV2lj7QAAAAAgEAAA8AAAAAAAAAAQAgAAAA&#10;IgAAAGRycy9kb3ducmV2LnhtbFBLAQIUABQAAAAIAIdO4kAOlZIS2gEAAJcDAAAOAAAAAAAAAAEA&#10;IAAAAB8BAABkcnMvZTJvRG9jLnhtbFBLBQYAAAAABgAGAFkBAABrBQAAAAA=&#10;">
                <v:fill on="f" focussize="0,0"/>
                <v:stroke weight="2.25pt" color="#000000" joinstyle="round"/>
                <v:imagedata o:title=""/>
                <o:lock v:ext="edit" aspectratio="f"/>
              </v:line>
            </w:pict>
          </mc:Fallback>
        </mc:AlternateContent>
      </w:r>
    </w:p>
    <w:p/>
    <w:p>
      <w:pPr>
        <w:jc w:val="center"/>
        <w:rPr>
          <w:b/>
          <w:sz w:val="36"/>
          <w:szCs w:val="36"/>
        </w:rPr>
      </w:pPr>
      <w:r>
        <w:rPr>
          <w:b/>
          <w:sz w:val="36"/>
          <w:szCs w:val="36"/>
        </w:rPr>
        <w:t>关于**项目建设用地预审初审意见的报告</w:t>
      </w:r>
    </w:p>
    <w:p>
      <w:pPr>
        <w:rPr>
          <w:rFonts w:eastAsia="仿宋_GB2312"/>
          <w:sz w:val="32"/>
          <w:szCs w:val="32"/>
        </w:rPr>
      </w:pPr>
    </w:p>
    <w:p>
      <w:pPr>
        <w:rPr>
          <w:rFonts w:eastAsia="仿宋_GB2312"/>
          <w:sz w:val="32"/>
          <w:szCs w:val="32"/>
        </w:rPr>
      </w:pPr>
      <w:r>
        <w:rPr>
          <w:rFonts w:eastAsia="仿宋_GB2312"/>
          <w:sz w:val="32"/>
          <w:szCs w:val="32"/>
        </w:rPr>
        <w:t>自然资源部：</w:t>
      </w:r>
    </w:p>
    <w:p>
      <w:pPr>
        <w:ind w:firstLine="640" w:firstLineChars="200"/>
        <w:rPr>
          <w:rFonts w:eastAsia="仿宋_GB2312"/>
          <w:sz w:val="32"/>
          <w:szCs w:val="32"/>
        </w:rPr>
      </w:pPr>
      <w:r>
        <w:rPr>
          <w:rFonts w:eastAsia="仿宋_GB2312"/>
          <w:sz w:val="32"/>
          <w:szCs w:val="32"/>
        </w:rPr>
        <w:t>根据《建设项目用地预审管理办法》（国土资源部令第68号）</w:t>
      </w:r>
      <w:r>
        <w:rPr>
          <w:rFonts w:hint="eastAsia" w:eastAsia="仿宋_GB2312"/>
          <w:sz w:val="32"/>
          <w:szCs w:val="32"/>
        </w:rPr>
        <w:t>和《自然资源部关于做好占用永久基本农田重大建设项目用地预审的通知》（自然资规〔2018〕3号）</w:t>
      </w:r>
      <w:r>
        <w:rPr>
          <w:rFonts w:eastAsia="仿宋_GB2312"/>
          <w:sz w:val="32"/>
          <w:szCs w:val="32"/>
        </w:rPr>
        <w:t>的规定，我厅（局、委）受理了**项目的建设用地预审申请，并对该项目用地进行了初审审查，现将初步审查意见报告如下：</w:t>
      </w:r>
    </w:p>
    <w:p>
      <w:pPr>
        <w:rPr>
          <w:rFonts w:eastAsia="黑体"/>
          <w:sz w:val="32"/>
          <w:szCs w:val="32"/>
        </w:rPr>
      </w:pPr>
      <w:r>
        <w:rPr>
          <w:rFonts w:eastAsia="仿宋_GB2312"/>
          <w:sz w:val="32"/>
          <w:szCs w:val="32"/>
        </w:rPr>
        <w:t xml:space="preserve">    </w:t>
      </w:r>
      <w:r>
        <w:rPr>
          <w:rFonts w:eastAsia="黑体"/>
          <w:sz w:val="32"/>
          <w:szCs w:val="32"/>
        </w:rPr>
        <w:t>一、项目基本情况</w:t>
      </w:r>
    </w:p>
    <w:p>
      <w:pPr>
        <w:ind w:firstLine="636"/>
        <w:rPr>
          <w:rFonts w:eastAsia="仿宋_GB2312"/>
          <w:sz w:val="32"/>
          <w:szCs w:val="32"/>
        </w:rPr>
      </w:pPr>
      <w:r>
        <w:rPr>
          <w:rFonts w:eastAsia="仿宋_GB2312"/>
          <w:b/>
          <w:sz w:val="32"/>
          <w:szCs w:val="32"/>
        </w:rPr>
        <w:t>〔项目建设依据〕</w:t>
      </w:r>
      <w:r>
        <w:rPr>
          <w:rFonts w:eastAsia="仿宋_GB2312"/>
          <w:sz w:val="32"/>
          <w:szCs w:val="32"/>
        </w:rPr>
        <w:t>该项目已列入**规划（文号）（如《国家公路网规划（2013年～2030年）》、《中长期铁路网规划》等）/</w:t>
      </w:r>
      <w:r>
        <w:rPr>
          <w:rFonts w:hint="eastAsia" w:eastAsia="仿宋_GB2312"/>
          <w:sz w:val="32"/>
          <w:szCs w:val="32"/>
        </w:rPr>
        <w:t>……</w:t>
      </w:r>
      <w:r>
        <w:rPr>
          <w:rFonts w:eastAsia="仿宋_GB2312"/>
          <w:sz w:val="32"/>
          <w:szCs w:val="32"/>
        </w:rPr>
        <w:t>，项目应由**部门</w:t>
      </w:r>
      <w:r>
        <w:rPr>
          <w:rFonts w:hint="eastAsia" w:eastAsia="仿宋_GB2312"/>
          <w:sz w:val="32"/>
          <w:szCs w:val="32"/>
        </w:rPr>
        <w:t>审批（核准），符合受理占用永久基本农田的重大建设项目用地预审范围</w:t>
      </w:r>
      <w:r>
        <w:rPr>
          <w:rFonts w:eastAsia="仿宋_GB2312"/>
          <w:sz w:val="32"/>
          <w:szCs w:val="32"/>
        </w:rPr>
        <w:t>。〔</w:t>
      </w:r>
      <w:r>
        <w:rPr>
          <w:rFonts w:eastAsia="仿宋_GB2312"/>
          <w:b/>
          <w:sz w:val="32"/>
          <w:szCs w:val="32"/>
        </w:rPr>
        <w:t>项目建设意义〕</w:t>
      </w:r>
      <w:r>
        <w:rPr>
          <w:rFonts w:eastAsia="仿宋_GB2312"/>
          <w:sz w:val="32"/>
          <w:szCs w:val="32"/>
        </w:rPr>
        <w:t>项目建设对**具有重要意义。项目建设符合国家产业政策和国家土地供应政策。</w:t>
      </w:r>
      <w:r>
        <w:rPr>
          <w:rFonts w:eastAsia="仿宋_GB2312"/>
          <w:b/>
          <w:sz w:val="32"/>
          <w:szCs w:val="32"/>
        </w:rPr>
        <w:t>〔项目建设地点〕</w:t>
      </w:r>
      <w:r>
        <w:rPr>
          <w:rFonts w:eastAsia="仿宋_GB2312"/>
          <w:sz w:val="32"/>
          <w:szCs w:val="32"/>
        </w:rPr>
        <w:t>项目用地涉及**省（区、市）**市（盟）**县（市、区、旗）和**市（盟）**县（市、区、旗）。（跨省项目，增加表述：该项目为跨省项目，涉及**、**、**共**个省份。）</w:t>
      </w:r>
    </w:p>
    <w:p>
      <w:pPr>
        <w:ind w:firstLine="640" w:firstLineChars="200"/>
        <w:rPr>
          <w:rFonts w:eastAsia="黑体"/>
          <w:sz w:val="32"/>
          <w:szCs w:val="32"/>
        </w:rPr>
      </w:pPr>
      <w:r>
        <w:rPr>
          <w:rFonts w:eastAsia="黑体"/>
          <w:sz w:val="32"/>
          <w:szCs w:val="32"/>
        </w:rPr>
        <w:t>二、项目符合规划情况</w:t>
      </w:r>
    </w:p>
    <w:p>
      <w:pPr>
        <w:ind w:firstLine="636"/>
        <w:rPr>
          <w:rFonts w:hint="eastAsia" w:eastAsia="仿宋_GB2312"/>
          <w:sz w:val="32"/>
          <w:szCs w:val="32"/>
        </w:rPr>
      </w:pPr>
      <w:r>
        <w:rPr>
          <w:rFonts w:eastAsia="仿宋_GB2312"/>
          <w:b/>
          <w:sz w:val="32"/>
          <w:szCs w:val="32"/>
        </w:rPr>
        <w:t>〔项目用地现状分类〕</w:t>
      </w:r>
      <w:r>
        <w:rPr>
          <w:rFonts w:eastAsia="仿宋_GB2312"/>
          <w:sz w:val="32"/>
          <w:szCs w:val="32"/>
        </w:rPr>
        <w:t>该项目用地总面积**公顷，土地利用现状情况为农用地**公顷（耕地**公顷，含永久基本农田**公顷），建设用地**公顷，未利用地**公顷，围填海**公顷（或项目不涉及围填海）。</w:t>
      </w:r>
      <w:r>
        <w:rPr>
          <w:rFonts w:hint="eastAsia" w:eastAsia="仿宋_GB2312"/>
          <w:sz w:val="32"/>
          <w:szCs w:val="32"/>
        </w:rPr>
        <w:t>跨省项目需再按省分别表述用地现状。</w:t>
      </w:r>
      <w:r>
        <w:rPr>
          <w:rFonts w:eastAsia="仿宋_GB2312"/>
          <w:sz w:val="32"/>
          <w:szCs w:val="32"/>
        </w:rPr>
        <w:t>改扩建项目表述为：该项目申请用地总面积**公顷，项目原有建设用地总面积**公顷，改扩建后新增用地面积**公顷，农用地**公顷（耕地**公顷，含永久基本农田**公顷），建设用地**公顷，未利用地**公顷，围填海**公顷（或项目不涉及围填海）。</w:t>
      </w:r>
    </w:p>
    <w:p>
      <w:pPr>
        <w:ind w:firstLine="636"/>
        <w:rPr>
          <w:rFonts w:hint="eastAsia" w:eastAsia="仿宋_GB2312"/>
          <w:sz w:val="32"/>
          <w:szCs w:val="32"/>
        </w:rPr>
      </w:pPr>
      <w:r>
        <w:rPr>
          <w:rFonts w:eastAsia="仿宋_GB2312"/>
          <w:b/>
          <w:sz w:val="32"/>
          <w:szCs w:val="32"/>
        </w:rPr>
        <w:t>〔符合规划</w:t>
      </w:r>
      <w:r>
        <w:rPr>
          <w:rFonts w:hint="eastAsia" w:eastAsia="仿宋_GB2312"/>
          <w:b/>
          <w:sz w:val="32"/>
          <w:szCs w:val="32"/>
        </w:rPr>
        <w:t>的部分用地情况</w:t>
      </w:r>
      <w:r>
        <w:rPr>
          <w:rFonts w:eastAsia="仿宋_GB2312"/>
          <w:b/>
          <w:sz w:val="32"/>
          <w:szCs w:val="32"/>
        </w:rPr>
        <w:t>〕</w:t>
      </w:r>
      <w:r>
        <w:rPr>
          <w:rFonts w:eastAsia="仿宋_GB2312"/>
          <w:sz w:val="32"/>
          <w:szCs w:val="32"/>
        </w:rPr>
        <w:t>该项目</w:t>
      </w:r>
      <w:r>
        <w:rPr>
          <w:rFonts w:hint="eastAsia" w:eastAsia="仿宋_GB2312"/>
          <w:sz w:val="32"/>
          <w:szCs w:val="32"/>
        </w:rPr>
        <w:t>在</w:t>
      </w:r>
      <w:r>
        <w:rPr>
          <w:rFonts w:eastAsia="仿宋_GB2312"/>
          <w:sz w:val="32"/>
          <w:szCs w:val="32"/>
        </w:rPr>
        <w:t>**</w:t>
      </w:r>
      <w:r>
        <w:rPr>
          <w:rFonts w:hint="eastAsia" w:eastAsia="仿宋_GB2312"/>
          <w:sz w:val="32"/>
          <w:szCs w:val="32"/>
        </w:rPr>
        <w:t>省（区、市）</w:t>
      </w:r>
      <w:r>
        <w:rPr>
          <w:rFonts w:eastAsia="仿宋_GB2312"/>
          <w:sz w:val="32"/>
          <w:szCs w:val="32"/>
        </w:rPr>
        <w:t>**</w:t>
      </w:r>
      <w:r>
        <w:rPr>
          <w:rFonts w:hint="eastAsia" w:eastAsia="仿宋_GB2312"/>
          <w:sz w:val="32"/>
          <w:szCs w:val="32"/>
        </w:rPr>
        <w:t>市（盟）</w:t>
      </w:r>
      <w:r>
        <w:rPr>
          <w:rFonts w:eastAsia="仿宋_GB2312"/>
          <w:sz w:val="32"/>
          <w:szCs w:val="32"/>
        </w:rPr>
        <w:t>**</w:t>
      </w:r>
      <w:r>
        <w:rPr>
          <w:rFonts w:hint="eastAsia" w:eastAsia="仿宋_GB2312"/>
          <w:sz w:val="32"/>
          <w:szCs w:val="32"/>
        </w:rPr>
        <w:t>县（市、区、旗）用地符合当地土地利用总体规划/已列入当地土地利用总体规划重点建设项目清单，不占用永久基本农田。</w:t>
      </w:r>
    </w:p>
    <w:p>
      <w:pPr>
        <w:ind w:firstLine="636"/>
        <w:rPr>
          <w:rFonts w:eastAsia="仿宋_GB2312"/>
          <w:sz w:val="32"/>
          <w:szCs w:val="32"/>
        </w:rPr>
      </w:pPr>
      <w:r>
        <w:rPr>
          <w:rFonts w:eastAsia="仿宋_GB2312"/>
          <w:b/>
          <w:sz w:val="32"/>
          <w:szCs w:val="32"/>
        </w:rPr>
        <w:t>〔不符合规划</w:t>
      </w:r>
      <w:r>
        <w:rPr>
          <w:rFonts w:hint="eastAsia" w:eastAsia="仿宋_GB2312"/>
          <w:b/>
          <w:sz w:val="32"/>
          <w:szCs w:val="32"/>
        </w:rPr>
        <w:t>的部分用地情况</w:t>
      </w:r>
      <w:r>
        <w:rPr>
          <w:rFonts w:eastAsia="仿宋_GB2312"/>
          <w:b/>
          <w:sz w:val="32"/>
          <w:szCs w:val="32"/>
        </w:rPr>
        <w:t>〕</w:t>
      </w:r>
      <w:r>
        <w:rPr>
          <w:rFonts w:eastAsia="仿宋_GB2312"/>
          <w:sz w:val="32"/>
          <w:szCs w:val="32"/>
        </w:rPr>
        <w:t>该项目</w:t>
      </w:r>
      <w:r>
        <w:rPr>
          <w:rFonts w:hint="eastAsia" w:eastAsia="仿宋_GB2312"/>
          <w:sz w:val="32"/>
          <w:szCs w:val="32"/>
        </w:rPr>
        <w:t>在</w:t>
      </w:r>
      <w:r>
        <w:rPr>
          <w:rFonts w:eastAsia="仿宋_GB2312"/>
          <w:sz w:val="32"/>
          <w:szCs w:val="32"/>
        </w:rPr>
        <w:t>**省（区、市）**市（盟）**县（市、区、旗）用地不符合土地利用总体规划/已列入**省（区、市）**市（盟）**县（市、区、旗）土地利用总体规划，但涉及占用**市（盟）**县（市、区、旗）境内永久基本农田**公顷，相关</w:t>
      </w:r>
      <w:r>
        <w:rPr>
          <w:rFonts w:eastAsia="仿宋_GB2312"/>
          <w:color w:val="000000"/>
          <w:sz w:val="32"/>
          <w:szCs w:val="32"/>
        </w:rPr>
        <w:t>县</w:t>
      </w:r>
      <w:r>
        <w:rPr>
          <w:rFonts w:eastAsia="仿宋_GB2312"/>
          <w:sz w:val="32"/>
          <w:szCs w:val="32"/>
        </w:rPr>
        <w:t>（市、区、旗）已按规定编制土地利用总体规划修改方案</w:t>
      </w:r>
      <w:r>
        <w:rPr>
          <w:rFonts w:hint="eastAsia" w:eastAsia="仿宋_GB2312"/>
          <w:sz w:val="32"/>
          <w:szCs w:val="32"/>
        </w:rPr>
        <w:t>暨永久基本农田补划方案</w:t>
      </w:r>
      <w:r>
        <w:rPr>
          <w:rFonts w:eastAsia="仿宋_GB2312"/>
          <w:sz w:val="32"/>
          <w:szCs w:val="32"/>
        </w:rPr>
        <w:t>，材料齐备；相关</w:t>
      </w:r>
      <w:r>
        <w:rPr>
          <w:rFonts w:eastAsia="仿宋_GB2312"/>
          <w:color w:val="000000"/>
          <w:sz w:val="32"/>
          <w:szCs w:val="32"/>
        </w:rPr>
        <w:t>县</w:t>
      </w:r>
      <w:r>
        <w:rPr>
          <w:rFonts w:eastAsia="仿宋_GB2312"/>
          <w:sz w:val="32"/>
          <w:szCs w:val="32"/>
        </w:rPr>
        <w:t>（市、区、旗）将在用地报批前完成规划修改听证、对规划实施影响评估和专家论证等工作。</w:t>
      </w:r>
    </w:p>
    <w:p>
      <w:pPr>
        <w:ind w:firstLine="640" w:firstLineChars="200"/>
        <w:rPr>
          <w:rFonts w:hint="eastAsia" w:eastAsia="黑体"/>
          <w:sz w:val="32"/>
          <w:szCs w:val="32"/>
        </w:rPr>
      </w:pPr>
      <w:r>
        <w:rPr>
          <w:rFonts w:eastAsia="黑体"/>
          <w:sz w:val="32"/>
          <w:szCs w:val="32"/>
        </w:rPr>
        <w:t>三、占用和补划永久基本农田论证情况</w:t>
      </w:r>
    </w:p>
    <w:p>
      <w:pPr>
        <w:ind w:firstLine="640" w:firstLineChars="0"/>
        <w:rPr>
          <w:rFonts w:hint="eastAsia" w:eastAsia="仿宋_GB2312"/>
          <w:sz w:val="32"/>
          <w:szCs w:val="32"/>
        </w:rPr>
      </w:pPr>
      <w:r>
        <w:rPr>
          <w:rFonts w:hint="eastAsia" w:eastAsia="仿宋_GB2312"/>
          <w:sz w:val="32"/>
          <w:szCs w:val="32"/>
        </w:rPr>
        <w:t>见《</w:t>
      </w:r>
      <w:r>
        <w:rPr>
          <w:rFonts w:eastAsia="仿宋_GB2312"/>
          <w:b w:val="0"/>
          <w:w w:val="100"/>
          <w:sz w:val="32"/>
          <w:szCs w:val="32"/>
        </w:rPr>
        <w:t>涉及占用永久基本农田的重大建设项目土地利用总体规划修改方案</w:t>
      </w:r>
      <w:r>
        <w:rPr>
          <w:rFonts w:eastAsia="仿宋_GB2312"/>
          <w:b w:val="0"/>
          <w:color w:val="auto"/>
          <w:w w:val="100"/>
          <w:sz w:val="32"/>
          <w:szCs w:val="32"/>
        </w:rPr>
        <w:t>暨</w:t>
      </w:r>
      <w:r>
        <w:rPr>
          <w:rFonts w:eastAsia="仿宋_GB2312"/>
          <w:b w:val="0"/>
          <w:w w:val="100"/>
          <w:sz w:val="32"/>
          <w:szCs w:val="32"/>
        </w:rPr>
        <w:t>永久基本农田</w:t>
      </w:r>
      <w:r>
        <w:rPr>
          <w:rFonts w:eastAsia="仿宋_GB2312"/>
          <w:b w:val="0"/>
          <w:color w:val="auto"/>
          <w:w w:val="100"/>
          <w:sz w:val="32"/>
          <w:szCs w:val="32"/>
        </w:rPr>
        <w:t>补划</w:t>
      </w:r>
      <w:r>
        <w:rPr>
          <w:rFonts w:eastAsia="仿宋_GB2312"/>
          <w:b w:val="0"/>
          <w:w w:val="100"/>
          <w:sz w:val="32"/>
          <w:szCs w:val="32"/>
        </w:rPr>
        <w:t>方案</w:t>
      </w:r>
      <w:r>
        <w:rPr>
          <w:rFonts w:eastAsia="仿宋_GB2312"/>
          <w:sz w:val="32"/>
          <w:szCs w:val="32"/>
        </w:rPr>
        <w:t>》。</w:t>
      </w:r>
    </w:p>
    <w:p>
      <w:pPr>
        <w:ind w:firstLine="636"/>
        <w:rPr>
          <w:rFonts w:eastAsia="黑体"/>
          <w:sz w:val="32"/>
          <w:szCs w:val="32"/>
        </w:rPr>
      </w:pPr>
      <w:r>
        <w:rPr>
          <w:rFonts w:eastAsia="黑体"/>
          <w:sz w:val="32"/>
          <w:szCs w:val="32"/>
        </w:rPr>
        <w:t>四、项目符合土地使用标准情况</w:t>
      </w:r>
    </w:p>
    <w:p>
      <w:pPr>
        <w:ind w:firstLine="636"/>
        <w:rPr>
          <w:rFonts w:eastAsia="仿宋_GB2312"/>
          <w:sz w:val="32"/>
          <w:szCs w:val="32"/>
        </w:rPr>
      </w:pPr>
      <w:r>
        <w:rPr>
          <w:rFonts w:eastAsia="仿宋_GB2312"/>
          <w:b/>
          <w:sz w:val="32"/>
          <w:szCs w:val="32"/>
        </w:rPr>
        <w:t>〔项目用地功能分区〕</w:t>
      </w:r>
      <w:r>
        <w:rPr>
          <w:rFonts w:eastAsia="仿宋_GB2312"/>
          <w:sz w:val="32"/>
          <w:szCs w:val="32"/>
        </w:rPr>
        <w:t>该项目总用地规模为**公顷，其中各功能分区用地面积分别为**（各功能分区面积情况以及与土地使用标准对比情况）。如该项目为工业项目，须按照《国土资源部关于发布和实施〈工业项目建设用地控制指标〉的通知》（国土资发〔2008〕24号）的要求，说明是否符合投资强度、容积率、行政办公及生活服务设施用地、建筑系数、绿地率等五项控制指标情况。</w:t>
      </w:r>
    </w:p>
    <w:p>
      <w:pPr>
        <w:ind w:firstLine="636"/>
        <w:rPr>
          <w:rFonts w:eastAsia="仿宋_GB2312"/>
          <w:sz w:val="32"/>
          <w:szCs w:val="32"/>
        </w:rPr>
      </w:pPr>
      <w:r>
        <w:rPr>
          <w:rFonts w:eastAsia="仿宋_GB2312"/>
          <w:b/>
          <w:sz w:val="32"/>
          <w:szCs w:val="32"/>
        </w:rPr>
        <w:t>〔项目用地规模符合土地使用标准</w:t>
      </w:r>
      <w:r>
        <w:rPr>
          <w:rFonts w:hint="eastAsia" w:eastAsia="仿宋_GB2312"/>
          <w:b/>
          <w:sz w:val="32"/>
          <w:szCs w:val="32"/>
        </w:rPr>
        <w:t>情况</w:t>
      </w:r>
      <w:r>
        <w:rPr>
          <w:rFonts w:eastAsia="仿宋_GB2312"/>
          <w:b/>
          <w:sz w:val="32"/>
          <w:szCs w:val="32"/>
        </w:rPr>
        <w:t>〕</w:t>
      </w:r>
      <w:r>
        <w:rPr>
          <w:rFonts w:eastAsia="仿宋_GB2312"/>
          <w:sz w:val="32"/>
          <w:szCs w:val="32"/>
        </w:rPr>
        <w:t>该项目申请用地总面积和各功能分区用地面积均符合《**项目建设用地指标》的规定。该项目用地规模超过《**项目建设用地指标》的规定（或该类型项目未颁布土地使用标准），已由**省（区、市）自然资源主管部门开展项目</w:t>
      </w:r>
      <w:r>
        <w:rPr>
          <w:rFonts w:eastAsia="仿宋_GB2312"/>
          <w:color w:val="000000"/>
          <w:sz w:val="32"/>
          <w:szCs w:val="32"/>
        </w:rPr>
        <w:t>节</w:t>
      </w:r>
      <w:r>
        <w:rPr>
          <w:rFonts w:eastAsia="仿宋_GB2312"/>
          <w:sz w:val="32"/>
          <w:szCs w:val="32"/>
        </w:rPr>
        <w:t>地评价并组织专家评审。评审论证认为，该项目</w:t>
      </w:r>
      <w:r>
        <w:rPr>
          <w:rFonts w:eastAsia="仿宋_GB2312"/>
          <w:color w:val="000000"/>
          <w:sz w:val="32"/>
          <w:szCs w:val="32"/>
        </w:rPr>
        <w:t>各</w:t>
      </w:r>
      <w:r>
        <w:rPr>
          <w:rFonts w:eastAsia="仿宋_GB2312"/>
          <w:sz w:val="32"/>
          <w:szCs w:val="32"/>
        </w:rPr>
        <w:t>用地功能分区和总规模用地合理，采用的工程技术比较先进可行，符合节约集约用地的要求，并按要求出具评审论证意见，同意该项目申请用地预审。</w:t>
      </w:r>
    </w:p>
    <w:p>
      <w:pPr>
        <w:ind w:firstLine="636"/>
        <w:rPr>
          <w:rFonts w:eastAsia="黑体"/>
          <w:sz w:val="32"/>
          <w:szCs w:val="32"/>
        </w:rPr>
      </w:pPr>
      <w:r>
        <w:rPr>
          <w:rFonts w:eastAsia="黑体"/>
          <w:sz w:val="32"/>
          <w:szCs w:val="32"/>
        </w:rPr>
        <w:t>五、落实用地相关费用情况</w:t>
      </w:r>
    </w:p>
    <w:p>
      <w:pPr>
        <w:ind w:firstLine="636"/>
        <w:rPr>
          <w:rFonts w:eastAsia="仿宋_GB2312"/>
          <w:sz w:val="32"/>
          <w:szCs w:val="32"/>
        </w:rPr>
      </w:pPr>
      <w:r>
        <w:rPr>
          <w:rFonts w:eastAsia="仿宋_GB2312"/>
          <w:sz w:val="32"/>
          <w:szCs w:val="32"/>
        </w:rPr>
        <w:t>建设项目已按规定将补充耕地、征地补偿、土地复垦等相关费用足额纳入项目工程概算，占用永久基本农田的缴费标准按照当地耕地开垦费最高标准的两倍执行。我厅（局、委）</w:t>
      </w:r>
      <w:r>
        <w:rPr>
          <w:rFonts w:eastAsia="仿宋_GB2312"/>
          <w:color w:val="000000"/>
          <w:sz w:val="32"/>
          <w:szCs w:val="32"/>
        </w:rPr>
        <w:t>将</w:t>
      </w:r>
      <w:r>
        <w:rPr>
          <w:rFonts w:eastAsia="仿宋_GB2312"/>
          <w:sz w:val="32"/>
          <w:szCs w:val="32"/>
        </w:rPr>
        <w:t>督促建设单位和地方政府，在正式用地报批前按规定做好征地补偿安置、耕地占补平衡以及土地复垦有关工作。</w:t>
      </w:r>
    </w:p>
    <w:p>
      <w:pPr>
        <w:ind w:firstLine="636"/>
        <w:rPr>
          <w:rFonts w:eastAsia="黑体"/>
          <w:sz w:val="32"/>
          <w:szCs w:val="32"/>
        </w:rPr>
      </w:pPr>
      <w:r>
        <w:rPr>
          <w:rFonts w:eastAsia="黑体"/>
          <w:sz w:val="32"/>
          <w:szCs w:val="32"/>
        </w:rPr>
        <w:t>六、关于其他问题的说明</w:t>
      </w:r>
    </w:p>
    <w:p>
      <w:pPr>
        <w:ind w:firstLine="636"/>
        <w:rPr>
          <w:rFonts w:eastAsia="仿宋_GB2312"/>
          <w:sz w:val="32"/>
          <w:szCs w:val="32"/>
        </w:rPr>
      </w:pPr>
      <w:r>
        <w:rPr>
          <w:rFonts w:eastAsia="仿宋_GB2312"/>
          <w:sz w:val="32"/>
          <w:szCs w:val="32"/>
        </w:rPr>
        <w:t>对该项目是否属于重新预审等问题进行说明。</w:t>
      </w:r>
    </w:p>
    <w:p>
      <w:pPr>
        <w:ind w:firstLine="636"/>
        <w:rPr>
          <w:rFonts w:eastAsia="黑体"/>
          <w:sz w:val="32"/>
          <w:szCs w:val="32"/>
        </w:rPr>
      </w:pPr>
      <w:r>
        <w:rPr>
          <w:rFonts w:eastAsia="黑体"/>
          <w:sz w:val="32"/>
          <w:szCs w:val="32"/>
        </w:rPr>
        <w:t>七、小结</w:t>
      </w:r>
    </w:p>
    <w:p>
      <w:pPr>
        <w:ind w:firstLine="636"/>
        <w:rPr>
          <w:rFonts w:eastAsia="仿宋_GB2312"/>
          <w:sz w:val="32"/>
          <w:szCs w:val="32"/>
        </w:rPr>
      </w:pPr>
      <w:r>
        <w:rPr>
          <w:rFonts w:eastAsia="仿宋_GB2312"/>
          <w:sz w:val="32"/>
          <w:szCs w:val="32"/>
        </w:rPr>
        <w:t>综上所述，我厅（局、委）拟同意该项目用地。根据</w:t>
      </w:r>
      <w:r>
        <w:rPr>
          <w:rFonts w:hint="eastAsia" w:eastAsia="仿宋_GB2312"/>
          <w:sz w:val="32"/>
          <w:szCs w:val="32"/>
        </w:rPr>
        <w:t>相关</w:t>
      </w:r>
      <w:r>
        <w:rPr>
          <w:rFonts w:eastAsia="仿宋_GB2312"/>
          <w:sz w:val="32"/>
          <w:szCs w:val="32"/>
        </w:rPr>
        <w:t>规定，现将我厅（局、委）的初步审查意见报上，请予审查。</w:t>
      </w:r>
    </w:p>
    <w:p>
      <w:pPr>
        <w:ind w:firstLine="636"/>
        <w:rPr>
          <w:rFonts w:eastAsia="仿宋_GB2312"/>
          <w:sz w:val="32"/>
          <w:szCs w:val="32"/>
        </w:rPr>
      </w:pPr>
      <w:r>
        <w:rPr>
          <w:rFonts w:eastAsia="仿宋_GB2312"/>
          <w:sz w:val="32"/>
          <w:szCs w:val="32"/>
        </w:rPr>
        <w:t>联系人及电话：（姓名）        （电话）</w:t>
      </w:r>
    </w:p>
    <w:p>
      <w:pPr>
        <w:ind w:firstLine="636"/>
        <w:rPr>
          <w:rFonts w:eastAsia="仿宋_GB2312"/>
          <w:sz w:val="32"/>
          <w:szCs w:val="32"/>
        </w:rPr>
      </w:pPr>
    </w:p>
    <w:p>
      <w:pPr>
        <w:ind w:firstLine="5593" w:firstLineChars="1748"/>
        <w:rPr>
          <w:rFonts w:eastAsia="仿宋_GB2312"/>
          <w:sz w:val="32"/>
          <w:szCs w:val="32"/>
        </w:rPr>
      </w:pPr>
      <w:r>
        <w:rPr>
          <w:rFonts w:eastAsia="仿宋_GB2312"/>
          <w:sz w:val="32"/>
          <w:szCs w:val="32"/>
        </w:rPr>
        <w:t>（公章）</w:t>
      </w:r>
    </w:p>
    <w:p>
      <w:r>
        <w:rPr>
          <w:rFonts w:eastAsia="仿宋_GB2312"/>
          <w:sz w:val="32"/>
          <w:szCs w:val="32"/>
        </w:rPr>
        <w:t xml:space="preserve">年   月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DE3175"/>
    <w:rsid w:val="0CDE3175"/>
    <w:rsid w:val="29B52D9B"/>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2018-08-03T07:39:00Z</dcterms:created>
  <dc:creator>侯一俊</dc:creator>
  <cp:lastModifiedBy>bai</cp:lastModifiedBy>
  <dcterms:modified xsi:type="dcterms:W3CDTF">2019-09-16T08:16:52Z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