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keepLines/>
        <w:pageBreakBefore w:val="0"/>
        <w:widowControl w:val="0"/>
        <w:kinsoku/>
        <w:wordWrap/>
        <w:overflowPunct/>
        <w:topLinePunct w:val="0"/>
        <w:autoSpaceDE/>
        <w:autoSpaceDN/>
        <w:bidi w:val="0"/>
        <w:adjustRightInd/>
        <w:snapToGrid/>
        <w:spacing w:before="0" w:after="0" w:line="560" w:lineRule="exact"/>
        <w:jc w:val="center"/>
        <w:textAlignment w:val="auto"/>
        <w:outlineLvl w:val="0"/>
        <w:rPr>
          <w:rFonts w:hint="eastAsia" w:ascii="方正小标宋简体" w:hAnsi="方正小标宋简体" w:eastAsia="方正小标宋简体" w:cs="方正小标宋简体"/>
          <w:b w:val="0"/>
          <w:bCs/>
          <w:lang w:eastAsia="zh-CN"/>
        </w:rPr>
      </w:pPr>
      <w:bookmarkStart w:id="0" w:name="_Toc19456"/>
      <w:r>
        <w:rPr>
          <w:rFonts w:hint="eastAsia" w:ascii="方正小标宋简体" w:hAnsi="方正小标宋简体" w:eastAsia="方正小标宋简体" w:cs="方正小标宋简体"/>
          <w:b w:val="0"/>
          <w:bCs/>
          <w:lang w:eastAsia="zh-CN"/>
        </w:rPr>
        <w:t>威海市自然资源和规划局政策宣讲材料</w:t>
      </w:r>
      <w:bookmarkEnd w:id="0"/>
    </w:p>
    <w:p>
      <w:pPr>
        <w:pStyle w:val="7"/>
        <w:keepNext w:val="0"/>
        <w:keepLines w:val="0"/>
        <w:pageBreakBefore w:val="0"/>
        <w:widowControl w:val="0"/>
        <w:kinsoku/>
        <w:wordWrap/>
        <w:overflowPunct/>
        <w:topLinePunct w:val="0"/>
        <w:autoSpaceDE/>
        <w:autoSpaceDN/>
        <w:bidi w:val="0"/>
        <w:spacing w:line="560" w:lineRule="exact"/>
        <w:ind w:left="0" w:leftChars="0" w:firstLine="0" w:firstLineChars="0"/>
        <w:jc w:val="center"/>
        <w:textAlignment w:val="auto"/>
        <w:rPr>
          <w:rFonts w:hint="eastAsia" w:ascii="方正小标宋简体" w:hAnsi="方正小标宋简体" w:eastAsia="方正小标宋简体" w:cs="方正小标宋简体"/>
          <w:b w:val="0"/>
          <w:bCs/>
          <w:sz w:val="44"/>
          <w:szCs w:val="44"/>
          <w:lang w:eastAsia="zh-CN"/>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近年来，</w:t>
      </w:r>
      <w:r>
        <w:rPr>
          <w:rFonts w:hint="eastAsia" w:ascii="仿宋_GB2312" w:hAnsi="仿宋_GB2312" w:eastAsia="仿宋_GB2312" w:cs="仿宋_GB2312"/>
          <w:b w:val="0"/>
          <w:bCs/>
          <w:sz w:val="32"/>
          <w:szCs w:val="32"/>
          <w:lang w:eastAsia="zh-CN"/>
        </w:rPr>
        <w:t>市自然资源和规划局</w:t>
      </w:r>
      <w:r>
        <w:rPr>
          <w:rFonts w:hint="eastAsia" w:ascii="仿宋_GB2312" w:hAnsi="仿宋_GB2312" w:eastAsia="仿宋_GB2312" w:cs="仿宋_GB2312"/>
          <w:b w:val="0"/>
          <w:bCs/>
          <w:sz w:val="32"/>
          <w:szCs w:val="32"/>
        </w:rPr>
        <w:t>深入贯彻落实</w:t>
      </w:r>
      <w:r>
        <w:rPr>
          <w:rFonts w:hint="eastAsia" w:ascii="仿宋_GB2312" w:hAnsi="仿宋_GB2312" w:eastAsia="仿宋_GB2312" w:cs="仿宋_GB2312"/>
          <w:b w:val="0"/>
          <w:bCs/>
          <w:sz w:val="32"/>
          <w:szCs w:val="32"/>
          <w:lang w:eastAsia="zh-CN"/>
        </w:rPr>
        <w:t>市委、市政府</w:t>
      </w:r>
      <w:r>
        <w:rPr>
          <w:rFonts w:hint="eastAsia" w:ascii="仿宋_GB2312" w:hAnsi="仿宋_GB2312" w:eastAsia="仿宋_GB2312" w:cs="仿宋_GB2312"/>
          <w:b w:val="0"/>
          <w:bCs/>
          <w:sz w:val="32"/>
          <w:szCs w:val="32"/>
        </w:rPr>
        <w:t>决策部署，大力实施土地资源节约集约利用，</w:t>
      </w:r>
      <w:r>
        <w:rPr>
          <w:rFonts w:hint="eastAsia" w:ascii="仿宋_GB2312" w:hAnsi="仿宋_GB2312" w:eastAsia="仿宋_GB2312" w:cs="仿宋_GB2312"/>
          <w:b w:val="0"/>
          <w:bCs/>
          <w:sz w:val="32"/>
          <w:szCs w:val="32"/>
          <w:lang w:eastAsia="zh-CN"/>
        </w:rPr>
        <w:t>坚持执行</w:t>
      </w:r>
      <w:r>
        <w:rPr>
          <w:rFonts w:hint="eastAsia" w:ascii="仿宋_GB2312" w:hAnsi="仿宋_GB2312" w:eastAsia="仿宋_GB2312" w:cs="仿宋_GB2312"/>
          <w:b w:val="0"/>
          <w:bCs/>
          <w:sz w:val="32"/>
          <w:szCs w:val="32"/>
        </w:rPr>
        <w:t>“土地要素跟着项目走”机制，</w:t>
      </w:r>
      <w:r>
        <w:rPr>
          <w:rFonts w:hint="eastAsia" w:ascii="仿宋_GB2312" w:hAnsi="仿宋_GB2312" w:eastAsia="仿宋_GB2312" w:cs="仿宋_GB2312"/>
          <w:b w:val="0"/>
          <w:bCs/>
          <w:sz w:val="32"/>
          <w:szCs w:val="32"/>
          <w:lang w:eastAsia="zh-CN"/>
        </w:rPr>
        <w:t>切实</w:t>
      </w:r>
      <w:r>
        <w:rPr>
          <w:rFonts w:hint="eastAsia" w:ascii="仿宋_GB2312" w:hAnsi="仿宋_GB2312" w:eastAsia="仿宋_GB2312" w:cs="仿宋_GB2312"/>
          <w:b w:val="0"/>
          <w:bCs/>
          <w:sz w:val="32"/>
          <w:szCs w:val="32"/>
        </w:rPr>
        <w:t>提高土地要素保障能力，为我</w:t>
      </w:r>
      <w:r>
        <w:rPr>
          <w:rFonts w:hint="eastAsia" w:ascii="仿宋_GB2312" w:hAnsi="仿宋_GB2312" w:eastAsia="仿宋_GB2312" w:cs="仿宋_GB2312"/>
          <w:b w:val="0"/>
          <w:bCs/>
          <w:sz w:val="32"/>
          <w:szCs w:val="32"/>
          <w:lang w:eastAsia="zh-CN"/>
        </w:rPr>
        <w:t>市</w:t>
      </w:r>
      <w:r>
        <w:rPr>
          <w:rFonts w:hint="eastAsia" w:ascii="仿宋_GB2312" w:hAnsi="仿宋_GB2312" w:eastAsia="仿宋_GB2312" w:cs="仿宋_GB2312"/>
          <w:b w:val="0"/>
          <w:bCs/>
          <w:sz w:val="32"/>
          <w:szCs w:val="32"/>
        </w:rPr>
        <w:t>经济社会高质量发展提供了有力的土地要素支撑。</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省自然资源厅在去年土地要素保障创新行动的基础上，继续深化优化土地要素保障相关政策。在此次印发的促进经济加快恢复发展的若干政策措施清单中，重点提出了两条关于土地要素保障的政策措施。</w:t>
      </w:r>
    </w:p>
    <w:p>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仿宋_GB2312" w:hAnsi="仿宋_GB2312" w:eastAsia="仿宋_GB2312" w:cs="仿宋_GB2312"/>
          <w:b w:val="0"/>
          <w:bCs/>
          <w:sz w:val="32"/>
          <w:szCs w:val="32"/>
        </w:rPr>
      </w:pPr>
      <w:r>
        <w:rPr>
          <w:rFonts w:hint="eastAsia" w:ascii="仿宋_GB2312" w:hAnsi="仿宋_GB2312" w:eastAsia="仿宋_GB2312" w:cs="仿宋_GB2312"/>
          <w:b/>
          <w:bCs w:val="0"/>
          <w:sz w:val="32"/>
          <w:szCs w:val="32"/>
          <w:lang w:eastAsia="zh-CN"/>
        </w:rPr>
        <w:t>第一条，</w:t>
      </w:r>
      <w:r>
        <w:rPr>
          <w:rFonts w:hint="eastAsia" w:ascii="仿宋_GB2312" w:hAnsi="仿宋_GB2312" w:eastAsia="仿宋_GB2312" w:cs="仿宋_GB2312"/>
          <w:b/>
          <w:bCs w:val="0"/>
          <w:sz w:val="32"/>
          <w:szCs w:val="32"/>
        </w:rPr>
        <w:t>预支新增用地指标保障项目落地。</w:t>
      </w:r>
      <w:r>
        <w:rPr>
          <w:rFonts w:hint="eastAsia" w:ascii="仿宋_GB2312" w:hAnsi="仿宋_GB2312" w:eastAsia="仿宋_GB2312" w:cs="仿宋_GB2312"/>
          <w:b w:val="0"/>
          <w:bCs/>
          <w:sz w:val="32"/>
          <w:szCs w:val="32"/>
        </w:rPr>
        <w:t>也就是政策措施清单的第20条。大家都知道，自2020年起，国家改革土地利用计划管理方式，将以前的每年“下达年度土地指标”改为了按“增存挂钩”规则核补指标。也就是各</w:t>
      </w:r>
      <w:r>
        <w:rPr>
          <w:rFonts w:hint="eastAsia" w:ascii="仿宋_GB2312" w:hAnsi="仿宋_GB2312" w:eastAsia="仿宋_GB2312" w:cs="仿宋_GB2312"/>
          <w:b w:val="0"/>
          <w:bCs/>
          <w:sz w:val="32"/>
          <w:szCs w:val="32"/>
          <w:lang w:eastAsia="zh-CN"/>
        </w:rPr>
        <w:t>市</w:t>
      </w:r>
      <w:r>
        <w:rPr>
          <w:rFonts w:hint="eastAsia" w:ascii="仿宋_GB2312" w:hAnsi="仿宋_GB2312" w:eastAsia="仿宋_GB2312" w:cs="仿宋_GB2312"/>
          <w:b w:val="0"/>
          <w:bCs/>
          <w:sz w:val="32"/>
          <w:szCs w:val="32"/>
        </w:rPr>
        <w:t>以当年处置批而未供和闲置土地的数量为基础，按一定的比例核补当年自己可用的指标，简单来说就是自己挣了自己花。每年的具体配置规则和核补比例由自然资源部研究确定后印发文件实施。</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为促进我省经济加快恢复发展，持续巩固“稳中向好、进中提质”良好态势，充分保障省、市、县重点项目急需用地，经提报省委省政府同意，</w:t>
      </w:r>
      <w:r>
        <w:rPr>
          <w:rFonts w:hint="eastAsia" w:ascii="仿宋_GB2312" w:hAnsi="仿宋_GB2312" w:eastAsia="仿宋_GB2312" w:cs="仿宋_GB2312"/>
          <w:b w:val="0"/>
          <w:bCs/>
          <w:sz w:val="32"/>
          <w:szCs w:val="32"/>
          <w:lang w:eastAsia="zh-CN"/>
        </w:rPr>
        <w:t>省自然资源厅</w:t>
      </w:r>
      <w:r>
        <w:rPr>
          <w:rFonts w:hint="eastAsia" w:ascii="仿宋_GB2312" w:hAnsi="仿宋_GB2312" w:eastAsia="仿宋_GB2312" w:cs="仿宋_GB2312"/>
          <w:b w:val="0"/>
          <w:bCs/>
          <w:sz w:val="32"/>
          <w:szCs w:val="32"/>
        </w:rPr>
        <w:t>确定在国家明确2023年度用地指标配置规则前，对全省基础设施项目、民生工程以及符合产业政策和供地政策、投资到位、拿地即可开工建设的各级重点项目，特别是</w:t>
      </w:r>
      <w:r>
        <w:rPr>
          <w:rFonts w:hint="eastAsia" w:ascii="仿宋_GB2312" w:hAnsi="仿宋_GB2312" w:eastAsia="仿宋_GB2312" w:cs="仿宋_GB2312"/>
          <w:b w:val="0"/>
          <w:bCs/>
          <w:sz w:val="32"/>
          <w:szCs w:val="32"/>
          <w:lang w:eastAsia="zh-CN"/>
        </w:rPr>
        <w:t>市、县</w:t>
      </w:r>
      <w:r>
        <w:rPr>
          <w:rFonts w:hint="eastAsia" w:ascii="仿宋_GB2312" w:hAnsi="仿宋_GB2312" w:eastAsia="仿宋_GB2312" w:cs="仿宋_GB2312"/>
          <w:b w:val="0"/>
          <w:bCs/>
          <w:sz w:val="32"/>
          <w:szCs w:val="32"/>
        </w:rPr>
        <w:t>重点招引的大项目、好项目，可以预支土地指标办理用地报批手续，年底前按照国家有关规定统一核算。</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b w:val="0"/>
          <w:bCs/>
          <w:snapToGrid w:val="0"/>
          <w:kern w:val="0"/>
          <w:sz w:val="32"/>
          <w:szCs w:val="32"/>
        </w:rPr>
      </w:pPr>
      <w:r>
        <w:rPr>
          <w:rFonts w:hint="eastAsia" w:ascii="仿宋_GB2312" w:hAnsi="仿宋_GB2312" w:eastAsia="仿宋_GB2312" w:cs="仿宋_GB2312"/>
          <w:b w:val="0"/>
          <w:bCs/>
          <w:sz w:val="32"/>
          <w:szCs w:val="32"/>
        </w:rPr>
        <w:t>采取这一措施，目的就是保障真实有效投资项目真落地、快落地。各</w:t>
      </w:r>
      <w:r>
        <w:rPr>
          <w:rFonts w:hint="eastAsia" w:ascii="仿宋_GB2312" w:hAnsi="仿宋_GB2312" w:eastAsia="仿宋_GB2312" w:cs="仿宋_GB2312"/>
          <w:b w:val="0"/>
          <w:bCs/>
          <w:sz w:val="32"/>
          <w:szCs w:val="32"/>
          <w:lang w:eastAsia="zh-CN"/>
        </w:rPr>
        <w:t>区市、开发区</w:t>
      </w:r>
      <w:r>
        <w:rPr>
          <w:rFonts w:hint="eastAsia" w:ascii="仿宋_GB2312" w:hAnsi="仿宋_GB2312" w:eastAsia="仿宋_GB2312" w:cs="仿宋_GB2312"/>
          <w:b w:val="0"/>
          <w:bCs/>
          <w:sz w:val="32"/>
          <w:szCs w:val="32"/>
        </w:rPr>
        <w:t>要牢固树立节约集约、依法依规用地的意识和导向，切实做好项目遴选，预支指标的项目必须符合国土空间规划和相关产业政策，严格落实耕地占补平衡、依法履行征地程序等用地报批要求，而且项目必须是实实在在投资到位、拿地即可开工的好项目、真项目。在此，希望各</w:t>
      </w:r>
      <w:r>
        <w:rPr>
          <w:rFonts w:hint="eastAsia" w:ascii="仿宋_GB2312" w:hAnsi="仿宋_GB2312" w:eastAsia="仿宋_GB2312" w:cs="仿宋_GB2312"/>
          <w:b w:val="0"/>
          <w:bCs/>
          <w:sz w:val="32"/>
          <w:szCs w:val="32"/>
          <w:lang w:eastAsia="zh-CN"/>
        </w:rPr>
        <w:t>区市、开发区</w:t>
      </w:r>
      <w:r>
        <w:rPr>
          <w:rFonts w:hint="eastAsia" w:ascii="仿宋_GB2312" w:hAnsi="仿宋_GB2312" w:eastAsia="仿宋_GB2312" w:cs="仿宋_GB2312"/>
          <w:b w:val="0"/>
          <w:bCs/>
          <w:sz w:val="32"/>
          <w:szCs w:val="32"/>
        </w:rPr>
        <w:t>落实</w:t>
      </w:r>
      <w:r>
        <w:rPr>
          <w:rFonts w:hint="eastAsia" w:ascii="仿宋_GB2312" w:hAnsi="仿宋_GB2312" w:eastAsia="仿宋_GB2312" w:cs="仿宋_GB2312"/>
          <w:b w:val="0"/>
          <w:bCs/>
          <w:sz w:val="32"/>
          <w:szCs w:val="32"/>
          <w:lang w:eastAsia="zh-CN"/>
        </w:rPr>
        <w:t>好</w:t>
      </w:r>
      <w:r>
        <w:rPr>
          <w:rFonts w:hint="eastAsia" w:ascii="仿宋_GB2312" w:hAnsi="仿宋_GB2312" w:eastAsia="仿宋_GB2312" w:cs="仿宋_GB2312"/>
          <w:b w:val="0"/>
          <w:bCs/>
          <w:snapToGrid w:val="0"/>
          <w:kern w:val="0"/>
          <w:sz w:val="32"/>
          <w:szCs w:val="32"/>
        </w:rPr>
        <w:t>“项目跟着规划走，要素跟着项目走”的机制要求，用好指标预支政策，保障真实有效投资项目落地，让“好马吃到好料”，为我</w:t>
      </w:r>
      <w:r>
        <w:rPr>
          <w:rFonts w:hint="eastAsia" w:ascii="仿宋_GB2312" w:hAnsi="仿宋_GB2312" w:eastAsia="仿宋_GB2312" w:cs="仿宋_GB2312"/>
          <w:b w:val="0"/>
          <w:bCs/>
          <w:snapToGrid w:val="0"/>
          <w:kern w:val="0"/>
          <w:sz w:val="32"/>
          <w:szCs w:val="32"/>
          <w:lang w:eastAsia="zh-CN"/>
        </w:rPr>
        <w:t>市</w:t>
      </w:r>
      <w:r>
        <w:rPr>
          <w:rFonts w:hint="eastAsia" w:ascii="仿宋_GB2312" w:hAnsi="仿宋_GB2312" w:eastAsia="仿宋_GB2312" w:cs="仿宋_GB2312"/>
          <w:b w:val="0"/>
          <w:bCs/>
          <w:snapToGrid w:val="0"/>
          <w:kern w:val="0"/>
          <w:sz w:val="32"/>
          <w:szCs w:val="32"/>
        </w:rPr>
        <w:t>经济</w:t>
      </w:r>
      <w:r>
        <w:rPr>
          <w:rFonts w:hint="eastAsia" w:ascii="仿宋_GB2312" w:hAnsi="仿宋_GB2312" w:eastAsia="仿宋_GB2312" w:cs="仿宋_GB2312"/>
          <w:b w:val="0"/>
          <w:bCs/>
          <w:snapToGrid w:val="0"/>
          <w:kern w:val="0"/>
          <w:sz w:val="32"/>
          <w:szCs w:val="32"/>
          <w:lang w:eastAsia="zh-CN"/>
        </w:rPr>
        <w:t>高质量发展</w:t>
      </w:r>
      <w:r>
        <w:rPr>
          <w:rFonts w:hint="eastAsia" w:ascii="仿宋_GB2312" w:hAnsi="仿宋_GB2312" w:eastAsia="仿宋_GB2312" w:cs="仿宋_GB2312"/>
          <w:b w:val="0"/>
          <w:bCs/>
          <w:snapToGrid w:val="0"/>
          <w:kern w:val="0"/>
          <w:sz w:val="32"/>
          <w:szCs w:val="32"/>
        </w:rPr>
        <w:t>提供有力支撑。</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3"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bCs w:val="0"/>
          <w:sz w:val="32"/>
          <w:szCs w:val="32"/>
          <w:lang w:eastAsia="zh-CN"/>
        </w:rPr>
        <w:t>第二条，</w:t>
      </w:r>
      <w:r>
        <w:rPr>
          <w:rFonts w:hint="eastAsia" w:ascii="仿宋_GB2312" w:hAnsi="仿宋_GB2312" w:eastAsia="仿宋_GB2312" w:cs="仿宋_GB2312"/>
          <w:b/>
          <w:bCs w:val="0"/>
          <w:sz w:val="32"/>
          <w:szCs w:val="32"/>
        </w:rPr>
        <w:t>实施重大基础设施用地报批奖励。</w:t>
      </w:r>
      <w:r>
        <w:rPr>
          <w:rFonts w:hint="eastAsia" w:ascii="仿宋_GB2312" w:hAnsi="仿宋_GB2312" w:eastAsia="仿宋_GB2312" w:cs="仿宋_GB2312"/>
          <w:b w:val="0"/>
          <w:bCs/>
          <w:sz w:val="32"/>
          <w:szCs w:val="32"/>
        </w:rPr>
        <w:t>也就是政策措施清单的第21条。加大交通、水利、能源等基础设施项目建设，是高质量发展行稳致远的坚实支撑，也是促进投资的重要手段。</w:t>
      </w:r>
      <w:r>
        <w:rPr>
          <w:rFonts w:hint="eastAsia" w:ascii="仿宋_GB2312" w:hAnsi="仿宋_GB2312" w:eastAsia="仿宋_GB2312" w:cs="仿宋_GB2312"/>
          <w:b w:val="0"/>
          <w:bCs/>
          <w:sz w:val="32"/>
          <w:szCs w:val="32"/>
          <w:lang w:eastAsia="zh-CN"/>
        </w:rPr>
        <w:t>涉及到我市的</w:t>
      </w:r>
      <w:r>
        <w:rPr>
          <w:rFonts w:hint="eastAsia" w:ascii="仿宋_GB2312" w:hAnsi="仿宋_GB2312" w:eastAsia="仿宋_GB2312" w:cs="仿宋_GB2312"/>
          <w:b w:val="0"/>
          <w:bCs/>
          <w:sz w:val="32"/>
          <w:szCs w:val="32"/>
        </w:rPr>
        <w:t>重大基础设施项目</w:t>
      </w:r>
      <w:r>
        <w:rPr>
          <w:rFonts w:hint="eastAsia" w:ascii="仿宋_GB2312" w:hAnsi="仿宋_GB2312" w:eastAsia="仿宋_GB2312" w:cs="仿宋_GB2312"/>
          <w:b w:val="0"/>
          <w:bCs/>
          <w:sz w:val="32"/>
          <w:szCs w:val="32"/>
          <w:lang w:eastAsia="zh-CN"/>
        </w:rPr>
        <w:t>主要有：</w:t>
      </w:r>
      <w:r>
        <w:rPr>
          <w:rFonts w:hint="eastAsia" w:ascii="仿宋_GB2312" w:hAnsi="仿宋_GB2312" w:eastAsia="仿宋_GB2312" w:cs="仿宋_GB2312"/>
          <w:b w:val="0"/>
          <w:bCs w:val="0"/>
          <w:color w:val="auto"/>
          <w:sz w:val="32"/>
          <w:szCs w:val="32"/>
          <w:lang w:val="en-US" w:eastAsia="zh-CN"/>
        </w:rPr>
        <w:t>G18荣乌高速文登至双岛项目、华能核电等项目。</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为激励各地特别是县</w:t>
      </w:r>
      <w:r>
        <w:rPr>
          <w:rFonts w:hint="eastAsia" w:ascii="仿宋_GB2312" w:hAnsi="仿宋_GB2312" w:eastAsia="仿宋_GB2312" w:cs="仿宋_GB2312"/>
          <w:b w:val="0"/>
          <w:bCs/>
          <w:sz w:val="32"/>
          <w:szCs w:val="32"/>
          <w:lang w:eastAsia="zh-CN"/>
        </w:rPr>
        <w:t>级</w:t>
      </w:r>
      <w:r>
        <w:rPr>
          <w:rFonts w:hint="eastAsia" w:ascii="仿宋_GB2312" w:hAnsi="仿宋_GB2312" w:eastAsia="仿宋_GB2312" w:cs="仿宋_GB2312"/>
          <w:b w:val="0"/>
          <w:bCs/>
          <w:sz w:val="32"/>
          <w:szCs w:val="32"/>
        </w:rPr>
        <w:t>政府落实主体责任，加快推进重大基础设项目用地报批各项前期工作，为项目尽早落地实施创造条件。</w:t>
      </w:r>
      <w:r>
        <w:rPr>
          <w:rFonts w:hint="eastAsia" w:ascii="仿宋_GB2312" w:hAnsi="仿宋_GB2312" w:eastAsia="仿宋_GB2312" w:cs="仿宋_GB2312"/>
          <w:b w:val="0"/>
          <w:bCs/>
          <w:sz w:val="32"/>
          <w:szCs w:val="32"/>
          <w:lang w:eastAsia="zh-CN"/>
        </w:rPr>
        <w:t>省自然资源厅</w:t>
      </w:r>
      <w:r>
        <w:rPr>
          <w:rFonts w:hint="eastAsia" w:ascii="仿宋_GB2312" w:hAnsi="仿宋_GB2312" w:eastAsia="仿宋_GB2312" w:cs="仿宋_GB2312"/>
          <w:b w:val="0"/>
          <w:bCs/>
          <w:sz w:val="32"/>
          <w:szCs w:val="32"/>
        </w:rPr>
        <w:t>将对</w:t>
      </w:r>
      <w:r>
        <w:rPr>
          <w:rFonts w:hint="eastAsia" w:ascii="仿宋_GB2312" w:hAnsi="仿宋_GB2312" w:eastAsia="仿宋_GB2312" w:cs="仿宋_GB2312"/>
          <w:b w:val="0"/>
          <w:bCs/>
          <w:sz w:val="32"/>
          <w:szCs w:val="32"/>
          <w:lang w:val="en-US" w:eastAsia="zh-CN"/>
        </w:rPr>
        <w:t>2023年12月31日</w:t>
      </w:r>
      <w:r>
        <w:rPr>
          <w:rFonts w:hint="eastAsia" w:ascii="仿宋_GB2312" w:hAnsi="仿宋_GB2312" w:eastAsia="仿宋_GB2312" w:cs="仿宋_GB2312"/>
          <w:b w:val="0"/>
          <w:bCs/>
          <w:sz w:val="32"/>
          <w:szCs w:val="32"/>
          <w:lang w:eastAsia="zh-CN"/>
        </w:rPr>
        <w:t>取得</w:t>
      </w:r>
      <w:r>
        <w:rPr>
          <w:rFonts w:hint="eastAsia" w:ascii="仿宋_GB2312" w:hAnsi="仿宋_GB2312" w:eastAsia="仿宋_GB2312" w:cs="仿宋_GB2312"/>
          <w:b w:val="0"/>
          <w:bCs/>
          <w:sz w:val="32"/>
          <w:szCs w:val="32"/>
        </w:rPr>
        <w:t>用地批复的交通、水利、能源等单独选址重大基础设施项目，从省级统筹用地指标中拿出一定数量对获批项目的合法新增用地部分给予奖励。其中，对获得国务院批复的奖励10%，获省政府批复的奖励5%，指标直接奖励到项目所在县（市、区）。</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这里，跟大家说明三个方面的内容。</w:t>
      </w:r>
      <w:r>
        <w:rPr>
          <w:rFonts w:hint="eastAsia" w:ascii="仿宋_GB2312" w:hAnsi="仿宋_GB2312" w:eastAsia="仿宋_GB2312" w:cs="仿宋_GB2312"/>
          <w:b/>
          <w:bCs w:val="0"/>
          <w:sz w:val="32"/>
          <w:szCs w:val="32"/>
        </w:rPr>
        <w:t>一是</w:t>
      </w:r>
      <w:r>
        <w:rPr>
          <w:rFonts w:hint="eastAsia" w:ascii="仿宋_GB2312" w:hAnsi="仿宋_GB2312" w:eastAsia="仿宋_GB2312" w:cs="仿宋_GB2312"/>
          <w:b w:val="0"/>
          <w:bCs/>
          <w:sz w:val="32"/>
          <w:szCs w:val="32"/>
        </w:rPr>
        <w:t>国家今年将继续对纳入国家重大项目清单的项目用地予以重点保障，由自然资源部在用地审批时直接配置用地指标。同时调整对省级重点基础设施项目国家直接配置指标的政策，规范提高纳入国家重点用地保障的门槛。因此请</w:t>
      </w:r>
      <w:r>
        <w:rPr>
          <w:rFonts w:hint="eastAsia" w:ascii="仿宋_GB2312" w:hAnsi="仿宋_GB2312" w:eastAsia="仿宋_GB2312" w:cs="仿宋_GB2312"/>
          <w:b w:val="0"/>
          <w:bCs/>
          <w:sz w:val="32"/>
          <w:szCs w:val="32"/>
          <w:lang w:eastAsia="zh-CN"/>
        </w:rPr>
        <w:t>各区市、开发区</w:t>
      </w:r>
      <w:r>
        <w:rPr>
          <w:rFonts w:hint="eastAsia" w:ascii="仿宋_GB2312" w:hAnsi="仿宋_GB2312" w:eastAsia="仿宋_GB2312" w:cs="仿宋_GB2312"/>
          <w:b w:val="0"/>
          <w:bCs/>
          <w:sz w:val="32"/>
          <w:szCs w:val="32"/>
        </w:rPr>
        <w:t>高度重视，积极配合发展改革部门提报需要国家予以重点保障用地的重大项目清单，力争纳入国家保障的范围；</w:t>
      </w:r>
      <w:r>
        <w:rPr>
          <w:rFonts w:hint="eastAsia" w:ascii="仿宋_GB2312" w:hAnsi="仿宋_GB2312" w:eastAsia="仿宋_GB2312" w:cs="仿宋_GB2312"/>
          <w:b/>
          <w:bCs w:val="0"/>
          <w:sz w:val="32"/>
          <w:szCs w:val="32"/>
        </w:rPr>
        <w:t>二是</w:t>
      </w:r>
      <w:r>
        <w:rPr>
          <w:rFonts w:hint="eastAsia" w:ascii="仿宋_GB2312" w:hAnsi="仿宋_GB2312" w:eastAsia="仿宋_GB2312" w:cs="仿宋_GB2312"/>
          <w:b w:val="0"/>
          <w:bCs/>
          <w:sz w:val="32"/>
          <w:szCs w:val="32"/>
        </w:rPr>
        <w:t>奖励政策树立的是正向激励导向，对各</w:t>
      </w:r>
      <w:r>
        <w:rPr>
          <w:rFonts w:hint="eastAsia" w:ascii="仿宋_GB2312" w:hAnsi="仿宋_GB2312" w:eastAsia="仿宋_GB2312" w:cs="仿宋_GB2312"/>
          <w:b w:val="0"/>
          <w:bCs/>
          <w:sz w:val="32"/>
          <w:szCs w:val="32"/>
          <w:lang w:eastAsia="zh-CN"/>
        </w:rPr>
        <w:t>县（市、区）</w:t>
      </w:r>
      <w:r>
        <w:rPr>
          <w:rFonts w:hint="eastAsia" w:ascii="仿宋_GB2312" w:hAnsi="仿宋_GB2312" w:eastAsia="仿宋_GB2312" w:cs="仿宋_GB2312"/>
          <w:b w:val="0"/>
          <w:bCs/>
          <w:sz w:val="32"/>
          <w:szCs w:val="32"/>
        </w:rPr>
        <w:t>奖励的计算基数是获得批复的合法新增建设用地，项目用地中未批先建等违法用地的部分，不仅不奖励，还要依法依规对人对事严肃处理到位才能报批用地；</w:t>
      </w:r>
      <w:r>
        <w:rPr>
          <w:rFonts w:hint="eastAsia" w:ascii="仿宋_GB2312" w:hAnsi="仿宋_GB2312" w:eastAsia="仿宋_GB2312" w:cs="仿宋_GB2312"/>
          <w:b/>
          <w:bCs w:val="0"/>
          <w:sz w:val="32"/>
          <w:szCs w:val="32"/>
        </w:rPr>
        <w:t>三是</w:t>
      </w:r>
      <w:r>
        <w:rPr>
          <w:rFonts w:hint="eastAsia" w:ascii="仿宋_GB2312" w:hAnsi="仿宋_GB2312" w:eastAsia="仿宋_GB2312" w:cs="仿宋_GB2312"/>
          <w:b w:val="0"/>
          <w:bCs/>
          <w:sz w:val="32"/>
          <w:szCs w:val="32"/>
        </w:rPr>
        <w:t>2022年自然资源部会同国家发展改革委等7部门印发《关于加强用地审批前期工作积极推进基础设施项目建设的通知》，要求各级各有关部门在重大基础设施项目立项阶段联合做好选址选线，做深做细项目前期工作，加强多方案比选，合理避让永久基本农田、生态保护红线等。请各地各单位在项目建设中务必严格落实7部委要求，协同推进项目建设，严格落实保护耕地、统筹国土空间布局、严格节约集约用地等要求，切实提升用地报批质量和效率，为项目尽早落地实施创造条件。</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方正小标宋简体" w:hAnsi="方正小标宋简体" w:eastAsia="方正小标宋简体" w:cs="方正小标宋简体"/>
          <w:b w:val="0"/>
          <w:bCs/>
        </w:rPr>
      </w:pPr>
      <w:r>
        <w:rPr>
          <w:rFonts w:hint="eastAsia" w:ascii="仿宋_GB2312" w:hAnsi="仿宋_GB2312" w:eastAsia="仿宋_GB2312" w:cs="仿宋_GB2312"/>
          <w:b w:val="0"/>
          <w:bCs/>
          <w:sz w:val="32"/>
          <w:szCs w:val="32"/>
        </w:rPr>
        <w:t>下一步，</w:t>
      </w:r>
      <w:r>
        <w:rPr>
          <w:rFonts w:hint="eastAsia" w:ascii="仿宋_GB2312" w:hAnsi="仿宋_GB2312" w:eastAsia="仿宋_GB2312" w:cs="仿宋_GB2312"/>
          <w:b w:val="0"/>
          <w:bCs/>
          <w:sz w:val="32"/>
          <w:szCs w:val="32"/>
          <w:lang w:eastAsia="zh-CN"/>
        </w:rPr>
        <w:t>市自然资源和规划局</w:t>
      </w:r>
      <w:r>
        <w:rPr>
          <w:rFonts w:hint="eastAsia" w:ascii="仿宋_GB2312" w:hAnsi="仿宋_GB2312" w:eastAsia="仿宋_GB2312" w:cs="仿宋_GB2312"/>
          <w:b w:val="0"/>
          <w:bCs/>
          <w:sz w:val="32"/>
          <w:szCs w:val="32"/>
        </w:rPr>
        <w:t>将继续围绕</w:t>
      </w:r>
      <w:r>
        <w:rPr>
          <w:rFonts w:hint="eastAsia" w:ascii="仿宋_GB2312" w:hAnsi="仿宋_GB2312" w:eastAsia="仿宋_GB2312" w:cs="仿宋_GB2312"/>
          <w:b w:val="0"/>
          <w:bCs/>
          <w:sz w:val="32"/>
          <w:szCs w:val="32"/>
          <w:lang w:eastAsia="zh-CN"/>
        </w:rPr>
        <w:t>市委、市政府</w:t>
      </w:r>
      <w:r>
        <w:rPr>
          <w:rFonts w:hint="eastAsia" w:ascii="仿宋_GB2312" w:hAnsi="仿宋_GB2312" w:eastAsia="仿宋_GB2312" w:cs="仿宋_GB2312"/>
          <w:b w:val="0"/>
          <w:bCs/>
          <w:sz w:val="32"/>
          <w:szCs w:val="32"/>
        </w:rPr>
        <w:t>工作大局，立足</w:t>
      </w:r>
      <w:r>
        <w:rPr>
          <w:rFonts w:hint="eastAsia" w:ascii="仿宋_GB2312" w:hAnsi="仿宋_GB2312" w:eastAsia="仿宋_GB2312" w:cs="仿宋_GB2312"/>
          <w:b w:val="0"/>
          <w:bCs/>
          <w:sz w:val="32"/>
          <w:szCs w:val="32"/>
          <w:lang w:eastAsia="zh-CN"/>
        </w:rPr>
        <w:t>中心，服务</w:t>
      </w:r>
      <w:r>
        <w:rPr>
          <w:rFonts w:hint="eastAsia" w:ascii="仿宋_GB2312" w:hAnsi="仿宋_GB2312" w:eastAsia="仿宋_GB2312" w:cs="仿宋_GB2312"/>
          <w:b w:val="0"/>
          <w:bCs/>
          <w:sz w:val="32"/>
          <w:szCs w:val="32"/>
        </w:rPr>
        <w:t>大局，主动配合</w:t>
      </w:r>
      <w:r>
        <w:rPr>
          <w:rFonts w:hint="eastAsia" w:ascii="仿宋_GB2312" w:hAnsi="仿宋_GB2312" w:eastAsia="仿宋_GB2312" w:cs="仿宋_GB2312"/>
          <w:b w:val="0"/>
          <w:bCs/>
          <w:sz w:val="32"/>
          <w:szCs w:val="32"/>
          <w:lang w:eastAsia="zh-CN"/>
        </w:rPr>
        <w:t>各</w:t>
      </w:r>
      <w:r>
        <w:rPr>
          <w:rFonts w:hint="eastAsia" w:ascii="仿宋_GB2312" w:hAnsi="仿宋_GB2312" w:eastAsia="仿宋_GB2312" w:cs="仿宋_GB2312"/>
          <w:b w:val="0"/>
          <w:bCs/>
          <w:sz w:val="32"/>
          <w:szCs w:val="32"/>
        </w:rPr>
        <w:t>区市、开发区及有关部门，科学谋划各级各类重点项目土地要素需求，</w:t>
      </w:r>
      <w:r>
        <w:rPr>
          <w:rFonts w:hint="eastAsia" w:ascii="仿宋_GB2312" w:hAnsi="仿宋_GB2312" w:eastAsia="仿宋_GB2312" w:cs="仿宋_GB2312"/>
          <w:b w:val="0"/>
          <w:bCs/>
          <w:sz w:val="32"/>
          <w:szCs w:val="32"/>
          <w:lang w:val="en-US" w:eastAsia="zh-CN"/>
        </w:rPr>
        <w:t>进一步健全完善土地要素保障机制，切实发挥土地要素支撑保障作用，</w:t>
      </w:r>
      <w:r>
        <w:rPr>
          <w:rFonts w:hint="eastAsia" w:ascii="仿宋_GB2312" w:hAnsi="仿宋_GB2312" w:eastAsia="仿宋_GB2312" w:cs="仿宋_GB2312"/>
          <w:b w:val="0"/>
          <w:bCs/>
          <w:sz w:val="32"/>
          <w:szCs w:val="32"/>
        </w:rPr>
        <w:t>为服务全市高质量发展贡献自然资源和规划力量。</w:t>
      </w:r>
    </w:p>
    <w:p>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Q5OWRiNjE0M2YxMmEwMmUwZjNkOGViZjhlNzA5MWQifQ=="/>
  </w:docVars>
  <w:rsids>
    <w:rsidRoot w:val="00000000"/>
    <w:rsid w:val="3C3F12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character" w:default="1" w:styleId="9">
    <w:name w:val="Default Paragraph Font"/>
    <w:semiHidden/>
    <w:uiPriority w:val="0"/>
  </w:style>
  <w:style w:type="table" w:default="1" w:styleId="8">
    <w:name w:val="Normal Table"/>
    <w:semiHidden/>
    <w:uiPriority w:val="0"/>
    <w:tblPr>
      <w:tblCellMar>
        <w:top w:w="0" w:type="dxa"/>
        <w:left w:w="108" w:type="dxa"/>
        <w:bottom w:w="0" w:type="dxa"/>
        <w:right w:w="108" w:type="dxa"/>
      </w:tblCellMar>
    </w:tblPr>
  </w:style>
  <w:style w:type="paragraph" w:styleId="2">
    <w:name w:val="Block Text"/>
    <w:basedOn w:val="1"/>
    <w:qFormat/>
    <w:uiPriority w:val="0"/>
    <w:pPr>
      <w:ind w:left="1440" w:leftChars="700" w:right="700" w:rightChars="700"/>
    </w:pPr>
  </w:style>
  <w:style w:type="paragraph" w:styleId="4">
    <w:name w:val="Body Text"/>
    <w:basedOn w:val="1"/>
    <w:next w:val="5"/>
    <w:unhideWhenUsed/>
    <w:qFormat/>
    <w:uiPriority w:val="99"/>
    <w:rPr>
      <w:kern w:val="0"/>
      <w:sz w:val="32"/>
      <w:szCs w:val="20"/>
    </w:rPr>
  </w:style>
  <w:style w:type="paragraph" w:styleId="5">
    <w:name w:val="Body Text First Indent 2"/>
    <w:basedOn w:val="6"/>
    <w:next w:val="7"/>
    <w:qFormat/>
    <w:uiPriority w:val="0"/>
    <w:pPr>
      <w:spacing w:line="560" w:lineRule="exact"/>
      <w:ind w:firstLine="420" w:firstLineChars="200"/>
    </w:pPr>
    <w:rPr>
      <w:rFonts w:ascii="仿宋_GB2312" w:eastAsia="仿宋_GB2312" w:cs="仿宋_GB2312"/>
      <w:sz w:val="32"/>
      <w:szCs w:val="32"/>
    </w:rPr>
  </w:style>
  <w:style w:type="paragraph" w:styleId="6">
    <w:name w:val="Body Text Indent"/>
    <w:basedOn w:val="1"/>
    <w:next w:val="5"/>
    <w:qFormat/>
    <w:uiPriority w:val="0"/>
    <w:pPr>
      <w:spacing w:after="120"/>
      <w:ind w:left="420" w:leftChars="200"/>
    </w:pPr>
  </w:style>
  <w:style w:type="paragraph" w:styleId="7">
    <w:name w:val="Body Text First Indent"/>
    <w:basedOn w:val="4"/>
    <w:qFormat/>
    <w:uiPriority w:val="0"/>
    <w:pPr>
      <w:widowControl w:val="0"/>
      <w:spacing w:line="360" w:lineRule="auto"/>
      <w:ind w:firstLine="420" w:firstLineChars="100"/>
      <w:jc w:val="both"/>
    </w:pPr>
    <w:rPr>
      <w:rFonts w:ascii="宋体" w:hAnsi="Calibri"/>
      <w:kern w:val="2"/>
      <w:sz w:val="21"/>
      <w:szCs w:val="22"/>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2023-05-23T03:25:37Z</dcterms:created>
  <dc:creator>叮当猫0313</dc:creator>
  <cp:lastModifiedBy>blue</cp:lastModifiedBy>
  <dcterms:modified xsi:type="dcterms:W3CDTF">2023-05-23T03:26:03Z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B358F2DF5B0F4CC1BB278E510F28E0C8_12</vt:lpwstr>
  </property>
</Properties>
</file>