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黑体" w:eastAsia="黑体"/>
          <w:sz w:val="44"/>
          <w:szCs w:val="44"/>
        </w:rPr>
      </w:pPr>
    </w:p>
    <w:p>
      <w:pPr>
        <w:adjustRightInd w:val="0"/>
        <w:snapToGrid w:val="0"/>
        <w:jc w:val="center"/>
        <w:rPr>
          <w:rFonts w:ascii="方正小标宋简体" w:hAnsi="黑体" w:eastAsia="方正小标宋简体"/>
          <w:sz w:val="44"/>
          <w:szCs w:val="44"/>
        </w:rPr>
      </w:pPr>
      <w:r>
        <w:rPr>
          <w:rFonts w:hint="eastAsia" w:ascii="方正小标宋简体" w:hAnsi="黑体" w:eastAsia="方正小标宋简体"/>
          <w:sz w:val="44"/>
          <w:szCs w:val="44"/>
        </w:rPr>
        <w:t>2023年“稳中向好、进中提质”政策清单</w:t>
      </w:r>
    </w:p>
    <w:p>
      <w:pPr>
        <w:adjustRightInd w:val="0"/>
        <w:snapToGrid w:val="0"/>
        <w:jc w:val="center"/>
        <w:rPr>
          <w:rFonts w:ascii="方正小标宋简体" w:hAnsi="黑体" w:eastAsia="方正小标宋简体"/>
          <w:sz w:val="44"/>
          <w:szCs w:val="44"/>
        </w:rPr>
      </w:pPr>
      <w:r>
        <w:rPr>
          <w:rFonts w:hint="eastAsia" w:ascii="方正小标宋简体" w:hAnsi="黑体" w:eastAsia="方正小标宋简体"/>
          <w:sz w:val="44"/>
          <w:szCs w:val="44"/>
        </w:rPr>
        <w:t>（第三批）政策解读会议材料</w:t>
      </w:r>
    </w:p>
    <w:p>
      <w:pPr>
        <w:jc w:val="center"/>
        <w:rPr>
          <w:rFonts w:hint="eastAsia" w:ascii="仿宋_GB2312" w:eastAsia="仿宋_GB2312"/>
          <w:sz w:val="32"/>
          <w:szCs w:val="32"/>
          <w:lang w:eastAsia="zh-CN"/>
        </w:rPr>
      </w:pPr>
      <w:r>
        <w:rPr>
          <w:rFonts w:hint="eastAsia" w:ascii="仿宋_GB2312" w:eastAsia="仿宋_GB2312"/>
          <w:sz w:val="32"/>
          <w:szCs w:val="32"/>
          <w:lang w:eastAsia="zh-CN"/>
        </w:rPr>
        <w:t>市商务局</w:t>
      </w:r>
    </w:p>
    <w:p>
      <w:pPr>
        <w:rPr>
          <w:rFonts w:ascii="仿宋_GB2312" w:eastAsia="仿宋_GB2312"/>
          <w:sz w:val="32"/>
          <w:szCs w:val="32"/>
        </w:rPr>
      </w:pPr>
      <w:r>
        <w:rPr>
          <w:rFonts w:hint="eastAsia" w:ascii="仿宋_GB2312" w:eastAsia="仿宋_GB2312"/>
          <w:sz w:val="32"/>
          <w:szCs w:val="32"/>
        </w:rPr>
        <w:t>各位领导</w:t>
      </w:r>
      <w:r>
        <w:rPr>
          <w:rFonts w:ascii="仿宋_GB2312" w:eastAsia="仿宋_GB2312"/>
          <w:sz w:val="32"/>
          <w:szCs w:val="32"/>
        </w:rPr>
        <w:t>、同事</w:t>
      </w:r>
      <w:r>
        <w:rPr>
          <w:rFonts w:hint="eastAsia" w:ascii="仿宋_GB2312" w:eastAsia="仿宋_GB2312"/>
          <w:sz w:val="32"/>
          <w:szCs w:val="32"/>
        </w:rPr>
        <w:t>：</w:t>
      </w:r>
    </w:p>
    <w:p>
      <w:pPr>
        <w:ind w:firstLine="640" w:firstLineChars="200"/>
        <w:rPr>
          <w:rFonts w:hint="eastAsia" w:ascii="仿宋_GB2312" w:eastAsia="仿宋_GB2312"/>
          <w:color w:val="auto"/>
          <w:sz w:val="32"/>
          <w:szCs w:val="32"/>
        </w:rPr>
      </w:pPr>
      <w:r>
        <w:rPr>
          <w:rFonts w:hint="eastAsia" w:ascii="仿宋_GB2312" w:eastAsia="仿宋_GB2312"/>
          <w:sz w:val="32"/>
          <w:szCs w:val="32"/>
        </w:rPr>
        <w:t>大家上午好！</w:t>
      </w:r>
    </w:p>
    <w:p>
      <w:pPr>
        <w:ind w:firstLine="640" w:firstLineChars="200"/>
        <w:rPr>
          <w:rFonts w:hint="eastAsia" w:ascii="仿宋_GB2312" w:eastAsia="仿宋_GB2312"/>
          <w:sz w:val="32"/>
          <w:szCs w:val="32"/>
        </w:rPr>
      </w:pPr>
      <w:r>
        <w:rPr>
          <w:rFonts w:hint="eastAsia" w:ascii="仿宋_GB2312" w:eastAsia="仿宋_GB2312"/>
          <w:sz w:val="32"/>
          <w:szCs w:val="32"/>
        </w:rPr>
        <w:t>下面由我对“稳中向好、进中提质”政策清单（第三批），新提出的加大助企解难力度中商业综合体纳统商户培育</w:t>
      </w:r>
      <w:r>
        <w:rPr>
          <w:rFonts w:hint="eastAsia" w:ascii="仿宋_GB2312" w:eastAsia="仿宋_GB2312"/>
          <w:sz w:val="32"/>
          <w:szCs w:val="32"/>
          <w:lang w:eastAsia="zh-CN"/>
        </w:rPr>
        <w:t>和支持举办车展扩大汽车销售</w:t>
      </w:r>
      <w:r>
        <w:rPr>
          <w:rFonts w:hint="eastAsia" w:ascii="仿宋_GB2312" w:eastAsia="仿宋_GB2312"/>
          <w:sz w:val="32"/>
          <w:szCs w:val="32"/>
          <w:lang w:val="en-US" w:eastAsia="zh-CN"/>
        </w:rPr>
        <w:t>2项</w:t>
      </w:r>
      <w:r>
        <w:rPr>
          <w:rFonts w:hint="eastAsia" w:ascii="仿宋_GB2312" w:eastAsia="仿宋_GB2312"/>
          <w:sz w:val="32"/>
          <w:szCs w:val="32"/>
        </w:rPr>
        <w:t>相关政策跟大家一起交流。</w:t>
      </w:r>
    </w:p>
    <w:p>
      <w:pPr>
        <w:ind w:firstLine="640" w:firstLineChars="200"/>
        <w:rPr>
          <w:rFonts w:ascii="黑体" w:hAnsi="黑体" w:eastAsia="黑体"/>
          <w:sz w:val="32"/>
          <w:szCs w:val="32"/>
        </w:rPr>
      </w:pPr>
      <w:r>
        <w:rPr>
          <w:rFonts w:hint="eastAsia" w:ascii="黑体" w:hAnsi="黑体" w:eastAsia="黑体"/>
          <w:sz w:val="32"/>
          <w:szCs w:val="32"/>
        </w:rPr>
        <w:t>一、支持对商业综合体内限额以上商户培育，对符合条件的前三季度限上企业销售额排前10位的商业综合体，根据新增纳统单位数量进行奖补。其中，新增纳统单位15家（含）以上的，每个综合体补助100万元；新增10（含）－15家的，每个综合体补助50万元；新增5（含）－10家的，每个综合体补助30万元。</w:t>
      </w:r>
    </w:p>
    <w:p>
      <w:pPr>
        <w:ind w:firstLine="640" w:firstLineChars="200"/>
        <w:rPr>
          <w:rFonts w:ascii="仿宋_GB2312" w:eastAsia="仿宋_GB2312"/>
          <w:sz w:val="32"/>
          <w:szCs w:val="32"/>
        </w:rPr>
      </w:pPr>
      <w:r>
        <w:rPr>
          <w:rFonts w:hint="eastAsia" w:ascii="仿宋_GB2312" w:eastAsia="仿宋_GB2312"/>
          <w:sz w:val="32"/>
          <w:szCs w:val="32"/>
        </w:rPr>
        <w:t>近年来，多样化、个性化消费需求持续升级，新兴消费增长潜力和优化空间巨大，</w:t>
      </w:r>
      <w:r>
        <w:rPr>
          <w:rFonts w:hint="eastAsia" w:ascii="仿宋_GB2312" w:hAnsi="微软雅黑" w:eastAsia="仿宋_GB2312"/>
          <w:color w:val="000000"/>
          <w:sz w:val="32"/>
          <w:szCs w:val="32"/>
        </w:rPr>
        <w:t>商业综合体是</w:t>
      </w:r>
      <w:r>
        <w:rPr>
          <w:rFonts w:hint="eastAsia" w:ascii="仿宋_GB2312" w:eastAsia="仿宋_GB2312"/>
          <w:sz w:val="32"/>
          <w:szCs w:val="32"/>
        </w:rPr>
        <w:t>引领</w:t>
      </w:r>
      <w:r>
        <w:rPr>
          <w:rFonts w:ascii="仿宋_GB2312" w:eastAsia="仿宋_GB2312"/>
          <w:sz w:val="32"/>
          <w:szCs w:val="32"/>
        </w:rPr>
        <w:t>新</w:t>
      </w:r>
      <w:r>
        <w:rPr>
          <w:rFonts w:hint="eastAsia" w:ascii="仿宋_GB2312" w:eastAsia="仿宋_GB2312"/>
          <w:sz w:val="32"/>
          <w:szCs w:val="32"/>
        </w:rPr>
        <w:t>兴</w:t>
      </w:r>
      <w:r>
        <w:rPr>
          <w:rFonts w:ascii="仿宋_GB2312" w:eastAsia="仿宋_GB2312"/>
          <w:sz w:val="32"/>
          <w:szCs w:val="32"/>
        </w:rPr>
        <w:t>消费发展</w:t>
      </w:r>
      <w:r>
        <w:rPr>
          <w:rFonts w:hint="eastAsia" w:ascii="仿宋_GB2312" w:eastAsia="仿宋_GB2312"/>
          <w:sz w:val="32"/>
          <w:szCs w:val="32"/>
        </w:rPr>
        <w:t>的</w:t>
      </w:r>
      <w:r>
        <w:rPr>
          <w:rFonts w:hint="eastAsia" w:ascii="仿宋_GB2312" w:hAnsi="微软雅黑" w:eastAsia="仿宋_GB2312"/>
          <w:color w:val="000000"/>
          <w:sz w:val="32"/>
          <w:szCs w:val="32"/>
        </w:rPr>
        <w:t>一种新业态、新模式，融合了商业零售、商务办公、酒店餐饮、公寓住宅、综合娱乐等多种功能，随着发展</w:t>
      </w:r>
      <w:r>
        <w:rPr>
          <w:rFonts w:ascii="仿宋_GB2312" w:hAnsi="微软雅黑" w:eastAsia="仿宋_GB2312"/>
          <w:color w:val="000000"/>
          <w:sz w:val="32"/>
          <w:szCs w:val="32"/>
        </w:rPr>
        <w:t>也</w:t>
      </w:r>
      <w:r>
        <w:rPr>
          <w:rFonts w:hint="eastAsia" w:ascii="仿宋_GB2312" w:hAnsi="微软雅黑" w:eastAsia="仿宋_GB2312"/>
          <w:color w:val="000000"/>
          <w:sz w:val="32"/>
          <w:szCs w:val="32"/>
        </w:rPr>
        <w:t>衍生出多种运作模式，对传统贸易统计方式是一种新的挑战。当前，我</w:t>
      </w:r>
      <w:r>
        <w:rPr>
          <w:rFonts w:hint="eastAsia" w:ascii="仿宋_GB2312" w:hAnsi="微软雅黑" w:eastAsia="仿宋_GB2312"/>
          <w:color w:val="000000"/>
          <w:sz w:val="32"/>
          <w:szCs w:val="32"/>
          <w:lang w:eastAsia="zh-CN"/>
        </w:rPr>
        <w:t>市</w:t>
      </w:r>
      <w:r>
        <w:rPr>
          <w:rFonts w:hint="eastAsia" w:ascii="仿宋_GB2312" w:hAnsi="微软雅黑" w:eastAsia="仿宋_GB2312"/>
          <w:color w:val="000000"/>
          <w:sz w:val="32"/>
          <w:szCs w:val="32"/>
        </w:rPr>
        <w:t>商业综合体纳统单位</w:t>
      </w:r>
      <w:r>
        <w:rPr>
          <w:rFonts w:hint="eastAsia" w:ascii="仿宋_GB2312" w:hAnsi="微软雅黑" w:eastAsia="仿宋_GB2312"/>
          <w:color w:val="auto"/>
          <w:sz w:val="32"/>
          <w:szCs w:val="32"/>
        </w:rPr>
        <w:t>比例</w:t>
      </w:r>
      <w:r>
        <w:rPr>
          <w:rFonts w:hint="eastAsia" w:ascii="仿宋_GB2312" w:hAnsi="微软雅黑" w:eastAsia="仿宋_GB2312"/>
          <w:color w:val="auto"/>
          <w:sz w:val="32"/>
          <w:szCs w:val="32"/>
          <w:lang w:eastAsia="zh-CN"/>
        </w:rPr>
        <w:t>很低</w:t>
      </w:r>
      <w:r>
        <w:rPr>
          <w:rFonts w:hint="eastAsia" w:ascii="仿宋_GB2312" w:hAnsi="微软雅黑" w:eastAsia="仿宋_GB2312"/>
          <w:color w:val="auto"/>
          <w:sz w:val="32"/>
          <w:szCs w:val="32"/>
        </w:rPr>
        <w:t>，</w:t>
      </w:r>
      <w:r>
        <w:rPr>
          <w:rFonts w:hint="eastAsia" w:ascii="仿宋_GB2312" w:hAnsi="微软雅黑" w:eastAsia="仿宋_GB2312"/>
          <w:color w:val="auto"/>
          <w:sz w:val="32"/>
          <w:szCs w:val="32"/>
          <w:lang w:eastAsia="zh-CN"/>
        </w:rPr>
        <w:t>前期，我市已经出台了</w:t>
      </w:r>
      <w:r>
        <w:rPr>
          <w:rFonts w:hint="eastAsia" w:ascii="宋体" w:hAnsi="宋体" w:eastAsia="仿宋_GB2312" w:cs="仿宋_GB2312"/>
          <w:color w:val="auto"/>
          <w:sz w:val="32"/>
          <w:szCs w:val="32"/>
        </w:rPr>
        <w:t>《</w:t>
      </w:r>
      <w:r>
        <w:rPr>
          <w:rFonts w:hint="eastAsia" w:ascii="宋体" w:hAnsi="宋体" w:eastAsia="仿宋_GB2312" w:cs="仿宋_GB2312"/>
          <w:color w:val="auto"/>
          <w:sz w:val="32"/>
          <w:szCs w:val="32"/>
          <w:lang w:eastAsia="zh-CN"/>
        </w:rPr>
        <w:t>威海市推动“四上”企业纳统奖励政策措施</w:t>
      </w:r>
      <w:r>
        <w:rPr>
          <w:rFonts w:hint="eastAsia" w:ascii="宋体" w:hAnsi="宋体" w:eastAsia="仿宋_GB2312" w:cs="仿宋_GB2312"/>
          <w:color w:val="auto"/>
          <w:sz w:val="32"/>
          <w:szCs w:val="32"/>
        </w:rPr>
        <w:t>》</w:t>
      </w:r>
      <w:r>
        <w:rPr>
          <w:rFonts w:hint="eastAsia" w:ascii="宋体" w:hAnsi="宋体" w:eastAsia="仿宋_GB2312" w:cs="仿宋_GB2312"/>
          <w:color w:val="auto"/>
          <w:sz w:val="32"/>
          <w:szCs w:val="32"/>
          <w:lang w:eastAsia="zh-CN"/>
        </w:rPr>
        <w:t>（威统字</w:t>
      </w:r>
      <w:r>
        <w:rPr>
          <w:rFonts w:hint="eastAsia" w:ascii="宋体" w:hAnsi="宋体" w:eastAsia="仿宋_GB2312" w:cs="仿宋_GB2312"/>
          <w:b w:val="0"/>
          <w:bCs/>
          <w:color w:val="auto"/>
          <w:sz w:val="32"/>
          <w:szCs w:val="32"/>
          <w:highlight w:val="none"/>
          <w:lang w:val="en-US" w:eastAsia="zh-CN"/>
        </w:rPr>
        <w:t>〔2021〕25号</w:t>
      </w:r>
      <w:r>
        <w:rPr>
          <w:rFonts w:hint="eastAsia" w:ascii="宋体" w:hAnsi="宋体" w:eastAsia="仿宋_GB2312" w:cs="仿宋_GB2312"/>
          <w:color w:val="auto"/>
          <w:sz w:val="32"/>
          <w:szCs w:val="32"/>
          <w:lang w:eastAsia="zh-CN"/>
        </w:rPr>
        <w:t>）、</w:t>
      </w:r>
      <w:r>
        <w:rPr>
          <w:rFonts w:hint="eastAsia" w:ascii="宋体" w:hAnsi="宋体" w:eastAsia="仿宋_GB2312" w:cs="仿宋_GB2312"/>
          <w:b w:val="0"/>
          <w:bCs/>
          <w:color w:val="auto"/>
          <w:sz w:val="32"/>
          <w:szCs w:val="32"/>
          <w:highlight w:val="none"/>
          <w:lang w:val="en-US" w:eastAsia="zh-CN"/>
        </w:rPr>
        <w:t>《关于印发威海市2023年促消费政策措施的通知》（威政办发〔2023〕1号），其中涵盖鼓励商业综合体纳统和</w:t>
      </w:r>
      <w:r>
        <w:rPr>
          <w:rFonts w:ascii="仿宋_GB2312" w:hAnsi="微软雅黑" w:eastAsia="仿宋_GB2312"/>
          <w:color w:val="auto"/>
          <w:sz w:val="32"/>
          <w:szCs w:val="32"/>
        </w:rPr>
        <w:t>支持</w:t>
      </w:r>
      <w:r>
        <w:rPr>
          <w:rFonts w:hint="eastAsia" w:ascii="仿宋_GB2312" w:hAnsi="微软雅黑" w:eastAsia="仿宋_GB2312"/>
          <w:color w:val="auto"/>
          <w:sz w:val="32"/>
          <w:szCs w:val="32"/>
        </w:rPr>
        <w:t>限上</w:t>
      </w:r>
      <w:r>
        <w:rPr>
          <w:rFonts w:ascii="仿宋_GB2312" w:hAnsi="微软雅黑" w:eastAsia="仿宋_GB2312"/>
          <w:color w:val="auto"/>
          <w:sz w:val="32"/>
          <w:szCs w:val="32"/>
        </w:rPr>
        <w:t>企业发展的政策，本次</w:t>
      </w:r>
      <w:r>
        <w:rPr>
          <w:rFonts w:hint="eastAsia" w:ascii="仿宋_GB2312" w:hAnsi="微软雅黑" w:eastAsia="仿宋_GB2312"/>
          <w:color w:val="auto"/>
          <w:sz w:val="32"/>
          <w:szCs w:val="32"/>
          <w:lang w:eastAsia="zh-CN"/>
        </w:rPr>
        <w:t>省商务厅</w:t>
      </w:r>
      <w:r>
        <w:rPr>
          <w:rFonts w:ascii="仿宋_GB2312" w:hAnsi="微软雅黑" w:eastAsia="仿宋_GB2312"/>
          <w:color w:val="auto"/>
          <w:sz w:val="32"/>
          <w:szCs w:val="32"/>
        </w:rPr>
        <w:t>选取商业综合体这一</w:t>
      </w:r>
      <w:r>
        <w:rPr>
          <w:rFonts w:hint="eastAsia" w:ascii="仿宋_GB2312" w:hAnsi="微软雅黑" w:eastAsia="仿宋_GB2312"/>
          <w:color w:val="auto"/>
          <w:sz w:val="32"/>
          <w:szCs w:val="32"/>
        </w:rPr>
        <w:t>业态</w:t>
      </w:r>
      <w:r>
        <w:rPr>
          <w:rFonts w:hint="eastAsia" w:ascii="仿宋_GB2312" w:hAnsi="微软雅黑" w:eastAsia="仿宋_GB2312"/>
          <w:color w:val="auto"/>
          <w:sz w:val="32"/>
          <w:szCs w:val="32"/>
          <w:lang w:eastAsia="zh-CN"/>
        </w:rPr>
        <w:t>单独</w:t>
      </w:r>
      <w:r>
        <w:rPr>
          <w:rFonts w:hint="eastAsia" w:ascii="仿宋_GB2312" w:hAnsi="微软雅黑" w:eastAsia="仿宋_GB2312"/>
          <w:color w:val="auto"/>
          <w:sz w:val="32"/>
          <w:szCs w:val="32"/>
        </w:rPr>
        <w:t>出台</w:t>
      </w:r>
      <w:r>
        <w:rPr>
          <w:rFonts w:ascii="仿宋_GB2312" w:hAnsi="微软雅黑" w:eastAsia="仿宋_GB2312"/>
          <w:color w:val="auto"/>
          <w:sz w:val="32"/>
          <w:szCs w:val="32"/>
        </w:rPr>
        <w:t>专项政策进行奖补，就是为了</w:t>
      </w:r>
      <w:r>
        <w:rPr>
          <w:rFonts w:hint="eastAsia" w:ascii="仿宋_GB2312" w:hAnsi="微软雅黑" w:eastAsia="仿宋_GB2312"/>
          <w:color w:val="auto"/>
          <w:sz w:val="32"/>
          <w:szCs w:val="32"/>
        </w:rPr>
        <w:t>做好新形势下的商业综合体统计工作，在制度方法框</w:t>
      </w:r>
      <w:r>
        <w:rPr>
          <w:rFonts w:hint="eastAsia" w:ascii="仿宋_GB2312" w:hAnsi="微软雅黑" w:eastAsia="仿宋_GB2312"/>
          <w:color w:val="000000"/>
          <w:sz w:val="32"/>
          <w:szCs w:val="32"/>
        </w:rPr>
        <w:t>架下，在维护好企业权益基础上，探索商业综合体商户入限途径，鼓励分公司转法人、商贸个转企等，对达到规模标准的单位及时申报纳统，确保应统尽统，客观反映地区、行业发展状况。具体内容</w:t>
      </w:r>
      <w:r>
        <w:rPr>
          <w:rFonts w:ascii="仿宋_GB2312" w:hAnsi="微软雅黑" w:eastAsia="仿宋_GB2312"/>
          <w:color w:val="000000"/>
          <w:sz w:val="32"/>
          <w:szCs w:val="32"/>
        </w:rPr>
        <w:t>为</w:t>
      </w:r>
      <w:r>
        <w:rPr>
          <w:rFonts w:hint="eastAsia" w:ascii="仿宋_GB2312" w:hAnsi="微软雅黑" w:eastAsia="仿宋_GB2312"/>
          <w:color w:val="000000"/>
          <w:sz w:val="32"/>
          <w:szCs w:val="32"/>
        </w:rPr>
        <w:t>：对符合条件的前三季度</w:t>
      </w:r>
      <w:r>
        <w:rPr>
          <w:rFonts w:hint="eastAsia" w:ascii="仿宋_GB2312" w:hAnsi="微软雅黑" w:eastAsia="仿宋_GB2312"/>
          <w:color w:val="000000"/>
          <w:sz w:val="32"/>
          <w:szCs w:val="32"/>
          <w:highlight w:val="none"/>
        </w:rPr>
        <w:t>限上单位销售</w:t>
      </w:r>
      <w:r>
        <w:rPr>
          <w:rFonts w:hint="eastAsia" w:ascii="仿宋_GB2312" w:hAnsi="微软雅黑" w:eastAsia="仿宋_GB2312"/>
          <w:color w:val="auto"/>
          <w:sz w:val="32"/>
          <w:szCs w:val="32"/>
          <w:highlight w:val="none"/>
        </w:rPr>
        <w:t>额</w:t>
      </w:r>
      <w:r>
        <w:rPr>
          <w:rFonts w:hint="eastAsia" w:ascii="仿宋_GB2312" w:hAnsi="微软雅黑" w:eastAsia="仿宋_GB2312"/>
          <w:color w:val="auto"/>
          <w:sz w:val="32"/>
          <w:szCs w:val="32"/>
          <w:lang w:eastAsia="zh-CN"/>
        </w:rPr>
        <w:t>全省</w:t>
      </w:r>
      <w:r>
        <w:rPr>
          <w:rFonts w:hint="eastAsia" w:ascii="仿宋_GB2312" w:hAnsi="微软雅黑" w:eastAsia="仿宋_GB2312"/>
          <w:color w:val="000000"/>
          <w:sz w:val="32"/>
          <w:szCs w:val="32"/>
        </w:rPr>
        <w:t>排前10位的商业综合体，根据新增纳统单位数量分三档进行奖补。</w:t>
      </w:r>
      <w:r>
        <w:rPr>
          <w:rFonts w:hint="eastAsia" w:ascii="仿宋_GB2312" w:eastAsia="仿宋_GB2312"/>
          <w:sz w:val="32"/>
          <w:szCs w:val="32"/>
        </w:rPr>
        <w:t>其中，新增纳统单位15家（含）以上的，每个综合体补助100万元；新增10（含）－15家的，每个综合体补助50万元；新增5（含）－10家的，每个综合体补助30万元。</w:t>
      </w:r>
    </w:p>
    <w:p>
      <w:pPr>
        <w:ind w:firstLine="640" w:firstLineChars="200"/>
        <w:rPr>
          <w:rFonts w:ascii="仿宋_GB2312" w:eastAsia="仿宋_GB2312"/>
          <w:sz w:val="32"/>
          <w:szCs w:val="32"/>
        </w:rPr>
      </w:pPr>
      <w:r>
        <w:rPr>
          <w:rFonts w:hint="eastAsia" w:ascii="仿宋_GB2312" w:eastAsia="仿宋_GB2312"/>
          <w:sz w:val="32"/>
          <w:szCs w:val="32"/>
        </w:rPr>
        <w:t>各</w:t>
      </w:r>
      <w:r>
        <w:rPr>
          <w:rFonts w:hint="eastAsia" w:ascii="仿宋_GB2312" w:eastAsia="仿宋_GB2312"/>
          <w:sz w:val="32"/>
          <w:szCs w:val="32"/>
          <w:lang w:eastAsia="zh-CN"/>
        </w:rPr>
        <w:t>区市</w:t>
      </w:r>
      <w:r>
        <w:rPr>
          <w:rFonts w:ascii="仿宋_GB2312" w:eastAsia="仿宋_GB2312"/>
          <w:sz w:val="32"/>
          <w:szCs w:val="32"/>
        </w:rPr>
        <w:t>要</w:t>
      </w:r>
      <w:r>
        <w:rPr>
          <w:rFonts w:hint="eastAsia" w:ascii="仿宋_GB2312" w:eastAsia="仿宋_GB2312"/>
          <w:sz w:val="32"/>
          <w:szCs w:val="32"/>
        </w:rPr>
        <w:t>以培育扶持商业综合体</w:t>
      </w:r>
      <w:r>
        <w:rPr>
          <w:rFonts w:ascii="仿宋_GB2312" w:eastAsia="仿宋_GB2312"/>
          <w:sz w:val="32"/>
          <w:szCs w:val="32"/>
        </w:rPr>
        <w:t>内企业</w:t>
      </w:r>
      <w:r>
        <w:rPr>
          <w:rFonts w:hint="eastAsia" w:ascii="仿宋_GB2312" w:eastAsia="仿宋_GB2312"/>
          <w:sz w:val="32"/>
          <w:szCs w:val="32"/>
        </w:rPr>
        <w:t>政策为抓手，以部门信息共享协同联动为基础，以高效统计监测为支撑，着力加强对商业综合体内限额以上商户培育，密切部门配合，积极宣传动员，深入挖掘潜力，督促指导达标企业及时申报纳统，形成培育一批、成熟一批、纳统一批的良性循环。</w:t>
      </w:r>
    </w:p>
    <w:p>
      <w:pPr>
        <w:ind w:firstLine="640" w:firstLineChars="200"/>
        <w:rPr>
          <w:rFonts w:ascii="仿宋_GB2312" w:eastAsia="仿宋_GB2312"/>
          <w:sz w:val="32"/>
          <w:szCs w:val="32"/>
        </w:rPr>
      </w:pPr>
    </w:p>
    <w:p>
      <w:pPr>
        <w:jc w:val="center"/>
        <w:rPr>
          <w:rFonts w:ascii="黑体" w:hAnsi="黑体" w:eastAsia="黑体" w:cs="Times New Roman"/>
          <w:sz w:val="28"/>
          <w:szCs w:val="28"/>
        </w:rPr>
      </w:pPr>
      <w:r>
        <w:rPr>
          <w:rFonts w:hint="eastAsia" w:ascii="黑体" w:hAnsi="黑体" w:eastAsia="黑体" w:cs="Times New Roman"/>
          <w:sz w:val="28"/>
          <w:szCs w:val="28"/>
        </w:rPr>
        <w:t>统计限额标准</w:t>
      </w:r>
    </w:p>
    <w:tbl>
      <w:tblPr>
        <w:tblStyle w:val="3"/>
        <w:tblW w:w="9361" w:type="dxa"/>
        <w:jc w:val="center"/>
        <w:tblInd w:w="0" w:type="dxa"/>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
      <w:tblGrid>
        <w:gridCol w:w="2299"/>
        <w:gridCol w:w="4815"/>
        <w:gridCol w:w="2247"/>
      </w:tblGrid>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680" w:hRule="atLeast"/>
          <w:jc w:val="center"/>
        </w:trPr>
        <w:tc>
          <w:tcPr>
            <w:tcW w:w="2299" w:type="dxa"/>
            <w:tcBorders>
              <w:top w:val="single" w:color="auto" w:sz="8" w:space="0"/>
            </w:tcBorders>
            <w:vAlign w:val="center"/>
          </w:tcPr>
          <w:p>
            <w:pPr>
              <w:pStyle w:val="2"/>
              <w:pBdr>
                <w:bottom w:val="none" w:color="auto" w:sz="0" w:space="0"/>
              </w:pBdr>
              <w:tabs>
                <w:tab w:val="clear" w:pos="4153"/>
                <w:tab w:val="clear" w:pos="8306"/>
              </w:tabs>
              <w:snapToGrid/>
              <w:rPr>
                <w:rFonts w:ascii="宋体" w:hAnsi="宋体"/>
              </w:rPr>
            </w:pPr>
            <w:r>
              <w:rPr>
                <w:rFonts w:hint="eastAsia" w:ascii="宋体" w:hAnsi="宋体"/>
              </w:rPr>
              <w:t>行业类别</w:t>
            </w:r>
          </w:p>
        </w:tc>
        <w:tc>
          <w:tcPr>
            <w:tcW w:w="4815" w:type="dxa"/>
            <w:tcBorders>
              <w:top w:val="single" w:color="auto" w:sz="8" w:space="0"/>
              <w:bottom w:val="single" w:color="auto" w:sz="2" w:space="0"/>
            </w:tcBorders>
            <w:vAlign w:val="center"/>
          </w:tcPr>
          <w:p>
            <w:pPr>
              <w:jc w:val="center"/>
              <w:rPr>
                <w:rFonts w:ascii="宋体" w:hAnsi="宋体" w:eastAsia="宋体" w:cs="Times New Roman"/>
                <w:sz w:val="18"/>
              </w:rPr>
            </w:pPr>
            <w:r>
              <w:rPr>
                <w:rFonts w:hint="eastAsia" w:ascii="宋体" w:hAnsi="宋体" w:eastAsia="宋体" w:cs="Times New Roman"/>
                <w:sz w:val="18"/>
              </w:rPr>
              <w:t>统计指标名称</w:t>
            </w:r>
          </w:p>
        </w:tc>
        <w:tc>
          <w:tcPr>
            <w:tcW w:w="2247" w:type="dxa"/>
            <w:tcBorders>
              <w:top w:val="single" w:color="auto" w:sz="8" w:space="0"/>
            </w:tcBorders>
            <w:vAlign w:val="center"/>
          </w:tcPr>
          <w:p>
            <w:pPr>
              <w:pStyle w:val="2"/>
              <w:pBdr>
                <w:bottom w:val="none" w:color="auto" w:sz="0" w:space="0"/>
              </w:pBdr>
              <w:tabs>
                <w:tab w:val="clear" w:pos="4153"/>
                <w:tab w:val="clear" w:pos="8306"/>
              </w:tabs>
              <w:snapToGrid/>
              <w:rPr>
                <w:rFonts w:ascii="宋体" w:hAnsi="宋体"/>
                <w:szCs w:val="24"/>
              </w:rPr>
            </w:pPr>
            <w:r>
              <w:rPr>
                <w:rFonts w:hint="eastAsia" w:ascii="宋体" w:hAnsi="宋体"/>
                <w:szCs w:val="24"/>
              </w:rPr>
              <w:t>限额标准</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624" w:hRule="exact"/>
          <w:jc w:val="center"/>
        </w:trPr>
        <w:tc>
          <w:tcPr>
            <w:tcW w:w="2299" w:type="dxa"/>
            <w:tcBorders>
              <w:bottom w:val="single" w:color="auto" w:sz="2" w:space="0"/>
            </w:tcBorders>
            <w:vAlign w:val="center"/>
          </w:tcPr>
          <w:p>
            <w:pPr>
              <w:pStyle w:val="2"/>
              <w:pBdr>
                <w:bottom w:val="none" w:color="auto" w:sz="0" w:space="0"/>
              </w:pBdr>
              <w:tabs>
                <w:tab w:val="clear" w:pos="4153"/>
                <w:tab w:val="clear" w:pos="8306"/>
              </w:tabs>
              <w:snapToGrid/>
              <w:rPr>
                <w:rFonts w:ascii="宋体" w:hAnsi="宋体"/>
              </w:rPr>
            </w:pPr>
            <w:r>
              <w:rPr>
                <w:rFonts w:hint="eastAsia" w:ascii="宋体" w:hAnsi="宋体"/>
              </w:rPr>
              <w:t>批发业</w:t>
            </w:r>
          </w:p>
        </w:tc>
        <w:tc>
          <w:tcPr>
            <w:tcW w:w="4815" w:type="dxa"/>
            <w:tcBorders>
              <w:top w:val="single" w:color="auto" w:sz="2" w:space="0"/>
              <w:bottom w:val="single" w:color="auto" w:sz="2" w:space="0"/>
            </w:tcBorders>
            <w:vAlign w:val="center"/>
          </w:tcPr>
          <w:p>
            <w:pPr>
              <w:jc w:val="center"/>
              <w:rPr>
                <w:rFonts w:ascii="宋体" w:hAnsi="宋体" w:eastAsia="宋体" w:cs="Times New Roman"/>
                <w:sz w:val="18"/>
              </w:rPr>
            </w:pPr>
            <w:r>
              <w:rPr>
                <w:rFonts w:hint="eastAsia" w:ascii="宋体" w:hAnsi="宋体" w:eastAsia="宋体" w:cs="Times New Roman"/>
                <w:sz w:val="18"/>
              </w:rPr>
              <w:t>年主营业务收入</w:t>
            </w:r>
          </w:p>
        </w:tc>
        <w:tc>
          <w:tcPr>
            <w:tcW w:w="2247" w:type="dxa"/>
            <w:tcBorders>
              <w:bottom w:val="single" w:color="auto" w:sz="2" w:space="0"/>
            </w:tcBorders>
            <w:vAlign w:val="center"/>
          </w:tcPr>
          <w:p>
            <w:pPr>
              <w:jc w:val="center"/>
              <w:rPr>
                <w:rFonts w:ascii="宋体" w:hAnsi="宋体" w:eastAsia="宋体" w:cs="Times New Roman"/>
                <w:sz w:val="18"/>
              </w:rPr>
            </w:pPr>
            <w:r>
              <w:rPr>
                <w:rFonts w:ascii="宋体" w:hAnsi="宋体" w:eastAsia="宋体" w:cs="Times New Roman"/>
                <w:sz w:val="18"/>
              </w:rPr>
              <w:t>200</w:t>
            </w:r>
            <w:r>
              <w:rPr>
                <w:rFonts w:hint="eastAsia" w:ascii="宋体" w:hAnsi="宋体" w:eastAsia="宋体" w:cs="Times New Roman"/>
                <w:sz w:val="18"/>
              </w:rPr>
              <w:t>0万元</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624" w:hRule="exact"/>
          <w:jc w:val="center"/>
        </w:trPr>
        <w:tc>
          <w:tcPr>
            <w:tcW w:w="2299" w:type="dxa"/>
            <w:tcBorders>
              <w:top w:val="single" w:color="auto" w:sz="2" w:space="0"/>
              <w:bottom w:val="single" w:color="auto" w:sz="8" w:space="0"/>
            </w:tcBorders>
            <w:vAlign w:val="center"/>
          </w:tcPr>
          <w:p>
            <w:pPr>
              <w:jc w:val="center"/>
              <w:rPr>
                <w:rFonts w:ascii="宋体" w:hAnsi="宋体" w:eastAsia="宋体" w:cs="Times New Roman"/>
                <w:sz w:val="18"/>
              </w:rPr>
            </w:pPr>
            <w:r>
              <w:rPr>
                <w:rFonts w:hint="eastAsia" w:ascii="宋体" w:hAnsi="宋体" w:eastAsia="宋体" w:cs="Times New Roman"/>
                <w:sz w:val="18"/>
              </w:rPr>
              <w:t>零售业</w:t>
            </w:r>
          </w:p>
        </w:tc>
        <w:tc>
          <w:tcPr>
            <w:tcW w:w="4815" w:type="dxa"/>
            <w:tcBorders>
              <w:top w:val="single" w:color="auto" w:sz="2" w:space="0"/>
              <w:bottom w:val="single" w:color="auto" w:sz="8" w:space="0"/>
            </w:tcBorders>
            <w:vAlign w:val="center"/>
          </w:tcPr>
          <w:p>
            <w:pPr>
              <w:jc w:val="center"/>
              <w:rPr>
                <w:rFonts w:ascii="宋体" w:hAnsi="宋体" w:eastAsia="宋体" w:cs="Times New Roman"/>
                <w:sz w:val="18"/>
              </w:rPr>
            </w:pPr>
            <w:r>
              <w:rPr>
                <w:rFonts w:hint="eastAsia" w:ascii="宋体" w:hAnsi="宋体" w:eastAsia="宋体" w:cs="Times New Roman"/>
                <w:sz w:val="18"/>
              </w:rPr>
              <w:t>年主营业务收入</w:t>
            </w:r>
          </w:p>
        </w:tc>
        <w:tc>
          <w:tcPr>
            <w:tcW w:w="2247" w:type="dxa"/>
            <w:tcBorders>
              <w:top w:val="single" w:color="auto" w:sz="2" w:space="0"/>
              <w:bottom w:val="single" w:color="auto" w:sz="8" w:space="0"/>
            </w:tcBorders>
            <w:vAlign w:val="center"/>
          </w:tcPr>
          <w:p>
            <w:pPr>
              <w:jc w:val="center"/>
              <w:rPr>
                <w:rFonts w:ascii="宋体" w:hAnsi="宋体" w:eastAsia="宋体" w:cs="Times New Roman"/>
                <w:sz w:val="18"/>
              </w:rPr>
            </w:pPr>
            <w:r>
              <w:rPr>
                <w:rFonts w:hint="eastAsia" w:ascii="宋体" w:hAnsi="宋体" w:eastAsia="宋体" w:cs="Times New Roman"/>
                <w:sz w:val="18"/>
              </w:rPr>
              <w:t>500万元</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624" w:hRule="exact"/>
          <w:jc w:val="center"/>
        </w:trPr>
        <w:tc>
          <w:tcPr>
            <w:tcW w:w="2299" w:type="dxa"/>
            <w:vAlign w:val="center"/>
          </w:tcPr>
          <w:p>
            <w:pPr>
              <w:jc w:val="center"/>
              <w:rPr>
                <w:rFonts w:ascii="宋体" w:hAnsi="宋体" w:eastAsia="宋体" w:cs="Times New Roman"/>
                <w:color w:val="000000"/>
                <w:sz w:val="18"/>
              </w:rPr>
            </w:pPr>
            <w:r>
              <w:rPr>
                <w:rFonts w:hint="eastAsia" w:ascii="宋体" w:hAnsi="宋体" w:eastAsia="宋体" w:cs="Times New Roman"/>
                <w:color w:val="000000"/>
                <w:sz w:val="18"/>
              </w:rPr>
              <w:t>住宿业</w:t>
            </w:r>
          </w:p>
        </w:tc>
        <w:tc>
          <w:tcPr>
            <w:tcW w:w="4815" w:type="dxa"/>
            <w:vMerge w:val="restart"/>
            <w:vAlign w:val="center"/>
          </w:tcPr>
          <w:p>
            <w:pPr>
              <w:jc w:val="center"/>
              <w:rPr>
                <w:rFonts w:ascii="宋体" w:hAnsi="宋体" w:eastAsia="宋体" w:cs="Times New Roman"/>
                <w:color w:val="000000"/>
                <w:sz w:val="18"/>
              </w:rPr>
            </w:pPr>
            <w:r>
              <w:rPr>
                <w:rFonts w:hint="eastAsia" w:ascii="宋体" w:hAnsi="宋体" w:eastAsia="宋体" w:cs="Times New Roman"/>
                <w:color w:val="000000"/>
                <w:sz w:val="18"/>
              </w:rPr>
              <w:t>年主营业务收入</w:t>
            </w:r>
          </w:p>
        </w:tc>
        <w:tc>
          <w:tcPr>
            <w:tcW w:w="2247" w:type="dxa"/>
            <w:vMerge w:val="restart"/>
            <w:vAlign w:val="center"/>
          </w:tcPr>
          <w:p>
            <w:pPr>
              <w:jc w:val="center"/>
              <w:rPr>
                <w:rFonts w:ascii="宋体" w:hAnsi="宋体" w:eastAsia="宋体" w:cs="Times New Roman"/>
                <w:color w:val="000000"/>
                <w:sz w:val="18"/>
              </w:rPr>
            </w:pPr>
            <w:r>
              <w:rPr>
                <w:rFonts w:ascii="宋体" w:hAnsi="宋体" w:eastAsia="宋体" w:cs="Times New Roman"/>
                <w:color w:val="000000"/>
                <w:sz w:val="18"/>
              </w:rPr>
              <w:t>20</w:t>
            </w:r>
            <w:r>
              <w:rPr>
                <w:rFonts w:hint="eastAsia" w:ascii="宋体" w:hAnsi="宋体" w:eastAsia="宋体" w:cs="Times New Roman"/>
                <w:color w:val="000000"/>
                <w:sz w:val="18"/>
              </w:rPr>
              <w:t>0万元</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Ex>
        <w:trPr>
          <w:trHeight w:val="624" w:hRule="exact"/>
          <w:jc w:val="center"/>
        </w:trPr>
        <w:tc>
          <w:tcPr>
            <w:tcW w:w="2299" w:type="dxa"/>
            <w:vAlign w:val="center"/>
          </w:tcPr>
          <w:p>
            <w:pPr>
              <w:jc w:val="center"/>
              <w:rPr>
                <w:rFonts w:ascii="宋体" w:hAnsi="宋体" w:eastAsia="宋体" w:cs="Times New Roman"/>
                <w:color w:val="000000"/>
                <w:sz w:val="18"/>
              </w:rPr>
            </w:pPr>
            <w:r>
              <w:rPr>
                <w:rFonts w:hint="eastAsia" w:ascii="宋体" w:hAnsi="宋体" w:eastAsia="宋体" w:cs="Times New Roman"/>
                <w:color w:val="000000"/>
                <w:sz w:val="18"/>
              </w:rPr>
              <w:t>餐饮业</w:t>
            </w:r>
          </w:p>
        </w:tc>
        <w:tc>
          <w:tcPr>
            <w:tcW w:w="4815" w:type="dxa"/>
            <w:vMerge w:val="continue"/>
            <w:vAlign w:val="center"/>
          </w:tcPr>
          <w:p>
            <w:pPr>
              <w:spacing w:line="480" w:lineRule="auto"/>
              <w:jc w:val="center"/>
              <w:rPr>
                <w:rFonts w:ascii="宋体" w:hAnsi="宋体" w:eastAsia="宋体" w:cs="Times New Roman"/>
                <w:color w:val="000000"/>
                <w:sz w:val="18"/>
              </w:rPr>
            </w:pPr>
          </w:p>
        </w:tc>
        <w:tc>
          <w:tcPr>
            <w:tcW w:w="2247" w:type="dxa"/>
            <w:vMerge w:val="continue"/>
            <w:vAlign w:val="center"/>
          </w:tcPr>
          <w:p>
            <w:pPr>
              <w:spacing w:line="480" w:lineRule="auto"/>
              <w:jc w:val="center"/>
              <w:rPr>
                <w:rFonts w:ascii="宋体" w:hAnsi="宋体" w:eastAsia="宋体" w:cs="Times New Roman"/>
                <w:color w:val="000000"/>
                <w:sz w:val="18"/>
              </w:rPr>
            </w:pPr>
          </w:p>
        </w:tc>
      </w:tr>
    </w:tbl>
    <w:p>
      <w:pPr>
        <w:ind w:firstLine="640" w:firstLineChars="200"/>
        <w:rPr>
          <w:rFonts w:hint="eastAsia" w:ascii="仿宋_GB2312" w:hAnsi="微软雅黑" w:eastAsia="仿宋_GB2312"/>
          <w:color w:val="000000"/>
          <w:sz w:val="32"/>
          <w:szCs w:val="32"/>
        </w:rPr>
      </w:pPr>
      <w:r>
        <w:rPr>
          <w:rFonts w:hint="eastAsia" w:ascii="仿宋_GB2312" w:eastAsia="仿宋_GB2312"/>
          <w:color w:val="auto"/>
          <w:sz w:val="32"/>
          <w:szCs w:val="32"/>
        </w:rPr>
        <w:t>下步我们将</w:t>
      </w:r>
      <w:r>
        <w:rPr>
          <w:rFonts w:hint="eastAsia" w:ascii="仿宋_GB2312" w:eastAsia="仿宋_GB2312"/>
          <w:color w:val="auto"/>
          <w:sz w:val="32"/>
          <w:szCs w:val="32"/>
          <w:lang w:eastAsia="zh-CN"/>
        </w:rPr>
        <w:t>结合省商务厅扶持政策，</w:t>
      </w:r>
      <w:r>
        <w:rPr>
          <w:rFonts w:hint="eastAsia" w:ascii="仿宋_GB2312" w:eastAsia="仿宋_GB2312"/>
          <w:color w:val="auto"/>
          <w:sz w:val="32"/>
          <w:szCs w:val="32"/>
        </w:rPr>
        <w:t>联合</w:t>
      </w:r>
      <w:r>
        <w:rPr>
          <w:rFonts w:hint="eastAsia" w:ascii="仿宋_GB2312" w:eastAsia="仿宋_GB2312"/>
          <w:color w:val="auto"/>
          <w:sz w:val="32"/>
          <w:szCs w:val="32"/>
          <w:lang w:eastAsia="zh-CN"/>
        </w:rPr>
        <w:t>市</w:t>
      </w:r>
      <w:r>
        <w:rPr>
          <w:rFonts w:hint="eastAsia" w:ascii="仿宋_GB2312" w:eastAsia="仿宋_GB2312"/>
          <w:color w:val="auto"/>
          <w:sz w:val="32"/>
          <w:szCs w:val="32"/>
        </w:rPr>
        <w:t>财政</w:t>
      </w:r>
      <w:r>
        <w:rPr>
          <w:rFonts w:hint="eastAsia" w:ascii="仿宋_GB2312" w:eastAsia="仿宋_GB2312"/>
          <w:color w:val="auto"/>
          <w:sz w:val="32"/>
          <w:szCs w:val="32"/>
          <w:lang w:eastAsia="zh-CN"/>
        </w:rPr>
        <w:t>局、市统计局</w:t>
      </w:r>
      <w:r>
        <w:rPr>
          <w:rFonts w:hint="eastAsia" w:ascii="仿宋_GB2312" w:eastAsia="仿宋_GB2312"/>
          <w:color w:val="auto"/>
          <w:sz w:val="32"/>
          <w:szCs w:val="32"/>
        </w:rPr>
        <w:t>等部门研究支持对商业综合体内限额以上商户培育的</w:t>
      </w:r>
      <w:r>
        <w:rPr>
          <w:rFonts w:hint="eastAsia" w:ascii="仿宋_GB2312" w:eastAsia="仿宋_GB2312"/>
          <w:color w:val="auto"/>
          <w:sz w:val="32"/>
          <w:szCs w:val="32"/>
          <w:lang w:eastAsia="zh-CN"/>
        </w:rPr>
        <w:t>有效</w:t>
      </w:r>
      <w:r>
        <w:rPr>
          <w:rFonts w:hint="eastAsia" w:ascii="仿宋_GB2312" w:eastAsia="仿宋_GB2312"/>
          <w:color w:val="auto"/>
          <w:sz w:val="32"/>
          <w:szCs w:val="32"/>
        </w:rPr>
        <w:t>办法，</w:t>
      </w:r>
      <w:r>
        <w:rPr>
          <w:rFonts w:hint="eastAsia" w:ascii="仿宋_GB2312" w:hAnsi="微软雅黑" w:eastAsia="仿宋_GB2312"/>
          <w:color w:val="000000"/>
          <w:sz w:val="32"/>
          <w:szCs w:val="32"/>
        </w:rPr>
        <w:t>持续提升限额以上企业规模，</w:t>
      </w:r>
      <w:r>
        <w:rPr>
          <w:rFonts w:hint="eastAsia" w:ascii="仿宋_GB2312" w:eastAsia="仿宋_GB2312"/>
          <w:sz w:val="32"/>
          <w:szCs w:val="32"/>
        </w:rPr>
        <w:t>推动我</w:t>
      </w:r>
      <w:r>
        <w:rPr>
          <w:rFonts w:hint="eastAsia" w:ascii="仿宋_GB2312" w:eastAsia="仿宋_GB2312"/>
          <w:sz w:val="32"/>
          <w:szCs w:val="32"/>
          <w:lang w:eastAsia="zh-CN"/>
        </w:rPr>
        <w:t>市</w:t>
      </w:r>
      <w:r>
        <w:rPr>
          <w:rFonts w:hint="eastAsia" w:ascii="仿宋_GB2312" w:eastAsia="仿宋_GB2312"/>
          <w:sz w:val="32"/>
          <w:szCs w:val="32"/>
        </w:rPr>
        <w:t>消费</w:t>
      </w:r>
      <w:r>
        <w:rPr>
          <w:rFonts w:ascii="仿宋_GB2312" w:eastAsia="仿宋_GB2312"/>
          <w:sz w:val="32"/>
          <w:szCs w:val="32"/>
        </w:rPr>
        <w:t>市场稳定向好，</w:t>
      </w:r>
      <w:r>
        <w:rPr>
          <w:rFonts w:hint="eastAsia" w:ascii="仿宋_GB2312" w:hAnsi="微软雅黑" w:eastAsia="仿宋_GB2312"/>
          <w:color w:val="000000"/>
          <w:sz w:val="32"/>
          <w:szCs w:val="32"/>
        </w:rPr>
        <w:t>增强消费长远发展后劲。</w:t>
      </w:r>
    </w:p>
    <w:p>
      <w:pPr>
        <w:ind w:firstLine="640" w:firstLineChars="200"/>
        <w:rPr>
          <w:rFonts w:ascii="黑体" w:hAnsi="黑体" w:eastAsia="黑体"/>
          <w:sz w:val="32"/>
          <w:szCs w:val="32"/>
        </w:rPr>
      </w:pPr>
      <w:r>
        <w:rPr>
          <w:rFonts w:hint="eastAsia" w:ascii="黑体" w:hAnsi="黑体" w:eastAsia="黑体"/>
          <w:sz w:val="32"/>
          <w:szCs w:val="32"/>
        </w:rPr>
        <w:t>二、支持举办车展扩大汽车销售，对符合条件的4至10月份销售额前10位的汽车展销活动，给予参展企业相关费用补助。其中，销售额超15亿元（含）的，每个活动支持200万元；销售额10（含）-15亿元的，每个活动支持100万元；销售额5（含）-10亿元的，每个活动支持50万元，用于补贴汽车销售企业参展场地费、搭建费用等实际支付费用。鼓励各市制定具有本地特色的支持汽车销售企业参展政策。</w:t>
      </w:r>
    </w:p>
    <w:p>
      <w:pPr>
        <w:ind w:firstLine="640" w:firstLineChars="200"/>
        <w:rPr>
          <w:rFonts w:hint="eastAsia" w:ascii="仿宋_GB2312" w:eastAsia="仿宋_GB2312"/>
          <w:sz w:val="32"/>
          <w:szCs w:val="32"/>
        </w:rPr>
      </w:pPr>
      <w:r>
        <w:rPr>
          <w:rFonts w:hint="eastAsia" w:ascii="仿宋_GB2312" w:eastAsia="仿宋_GB2312"/>
          <w:sz w:val="32"/>
          <w:szCs w:val="32"/>
        </w:rPr>
        <w:t>汽车作为大宗商品，是拉动消费的主要动力提振汽车消费对保持我省消费市场稳定向好态势具有重要意义，而车展又是扩大汽车销售的重要平台，能够在短时间内汇聚更多的人流和资金流，实现拉动消费、促进产业、服务民生的多重作用。本批政策清单中聚焦汽车展销活动，出台专门的支持措施，既支持了汽车销售，又促进了会展的发展。具体内容为：对符合条件的4至10月份销售额前10位的汽车展销活动，分三档给予参展企业相关费用补助。其中，销售额超15亿元（含）的，每个活动支持200万元；销售额10（含）-15亿元的，每个活动支持100万元；销售额5（含）-10亿元的，每个活动支持50万元，用于补贴汽车销售企业参展场地费、搭建费用等实际支付费用。</w:t>
      </w:r>
    </w:p>
    <w:p>
      <w:pPr>
        <w:ind w:firstLine="640" w:firstLineChars="200"/>
        <w:rPr>
          <w:rFonts w:hint="eastAsia" w:ascii="仿宋_GB2312" w:hAnsi="微软雅黑" w:eastAsia="仿宋_GB2312"/>
          <w:color w:val="000000"/>
          <w:sz w:val="32"/>
          <w:szCs w:val="32"/>
          <w:lang w:eastAsia="zh-CN"/>
        </w:rPr>
      </w:pPr>
      <w:bookmarkStart w:id="0" w:name="_GoBack"/>
      <w:bookmarkEnd w:id="0"/>
      <w:r>
        <w:rPr>
          <w:rFonts w:hint="eastAsia" w:ascii="仿宋_GB2312" w:eastAsia="仿宋_GB2312"/>
          <w:sz w:val="32"/>
          <w:szCs w:val="32"/>
          <w:lang w:eastAsia="zh-CN"/>
        </w:rPr>
        <w:t>市商务局将持续紧密跟踪省商务厅政策，在省商务厅联合省财政厅等部门</w:t>
      </w:r>
      <w:r>
        <w:rPr>
          <w:rFonts w:hint="eastAsia" w:ascii="仿宋_GB2312" w:eastAsia="仿宋_GB2312"/>
          <w:sz w:val="32"/>
          <w:szCs w:val="32"/>
        </w:rPr>
        <w:t>出台支持举办车展扩大汽车销售的具体奖补办法</w:t>
      </w:r>
      <w:r>
        <w:rPr>
          <w:rFonts w:hint="eastAsia" w:ascii="仿宋_GB2312" w:eastAsia="仿宋_GB2312"/>
          <w:sz w:val="32"/>
          <w:szCs w:val="32"/>
          <w:lang w:eastAsia="zh-CN"/>
        </w:rPr>
        <w:t>后</w:t>
      </w:r>
      <w:r>
        <w:rPr>
          <w:rFonts w:hint="eastAsia" w:ascii="仿宋_GB2312" w:eastAsia="仿宋_GB2312"/>
          <w:sz w:val="32"/>
          <w:szCs w:val="32"/>
        </w:rPr>
        <w:t>，</w:t>
      </w:r>
      <w:r>
        <w:rPr>
          <w:rFonts w:hint="eastAsia" w:ascii="仿宋_GB2312" w:eastAsia="仿宋_GB2312"/>
          <w:sz w:val="32"/>
          <w:szCs w:val="32"/>
          <w:lang w:eastAsia="zh-CN"/>
        </w:rPr>
        <w:t>会同各区市商务主管部门深入我市汽车展会办展单位，摸清车展情况，切实做好支持政策的组织申报落实工作，</w:t>
      </w:r>
      <w:r>
        <w:rPr>
          <w:rFonts w:hint="eastAsia" w:ascii="仿宋_GB2312" w:hAnsi="微软雅黑" w:eastAsia="仿宋_GB2312"/>
          <w:color w:val="000000"/>
          <w:sz w:val="32"/>
          <w:szCs w:val="32"/>
        </w:rPr>
        <w:t>不断</w:t>
      </w:r>
      <w:r>
        <w:rPr>
          <w:rFonts w:ascii="仿宋_GB2312" w:hAnsi="微软雅黑" w:eastAsia="仿宋_GB2312"/>
          <w:color w:val="000000"/>
          <w:sz w:val="32"/>
          <w:szCs w:val="32"/>
        </w:rPr>
        <w:t>扩大汽车消费水平</w:t>
      </w:r>
      <w:r>
        <w:rPr>
          <w:rFonts w:hint="eastAsia" w:ascii="仿宋_GB2312" w:hAnsi="微软雅黑" w:eastAsia="仿宋_GB2312"/>
          <w:color w:val="000000"/>
          <w:sz w:val="32"/>
          <w:szCs w:val="32"/>
          <w:lang w:eastAsia="zh-CN"/>
        </w:rPr>
        <w:t>。</w:t>
      </w:r>
    </w:p>
    <w:p>
      <w:pPr>
        <w:ind w:firstLine="640" w:firstLineChars="200"/>
        <w:rPr>
          <w:rFonts w:ascii="仿宋_GB2312" w:eastAsia="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3B68"/>
    <w:rsid w:val="00065039"/>
    <w:rsid w:val="000A70D1"/>
    <w:rsid w:val="000B1FA7"/>
    <w:rsid w:val="00102FF7"/>
    <w:rsid w:val="00150969"/>
    <w:rsid w:val="001B64EA"/>
    <w:rsid w:val="001C0855"/>
    <w:rsid w:val="001F6AE5"/>
    <w:rsid w:val="002210B4"/>
    <w:rsid w:val="00260694"/>
    <w:rsid w:val="002A431F"/>
    <w:rsid w:val="002B6D41"/>
    <w:rsid w:val="002D785F"/>
    <w:rsid w:val="00322A88"/>
    <w:rsid w:val="00350485"/>
    <w:rsid w:val="00397FFB"/>
    <w:rsid w:val="003B19A6"/>
    <w:rsid w:val="003B4F57"/>
    <w:rsid w:val="00436D45"/>
    <w:rsid w:val="00452F0C"/>
    <w:rsid w:val="004563FC"/>
    <w:rsid w:val="00457910"/>
    <w:rsid w:val="005524C2"/>
    <w:rsid w:val="00562934"/>
    <w:rsid w:val="005738CF"/>
    <w:rsid w:val="005862D2"/>
    <w:rsid w:val="005A2BFB"/>
    <w:rsid w:val="005C76AA"/>
    <w:rsid w:val="00624B14"/>
    <w:rsid w:val="0064421A"/>
    <w:rsid w:val="00661C03"/>
    <w:rsid w:val="006C3D26"/>
    <w:rsid w:val="006D2270"/>
    <w:rsid w:val="006E7319"/>
    <w:rsid w:val="00733CFF"/>
    <w:rsid w:val="007440DF"/>
    <w:rsid w:val="00783DA8"/>
    <w:rsid w:val="007874B8"/>
    <w:rsid w:val="00794A0B"/>
    <w:rsid w:val="007B5ED5"/>
    <w:rsid w:val="007F4CCB"/>
    <w:rsid w:val="008125F5"/>
    <w:rsid w:val="00835F9B"/>
    <w:rsid w:val="008E7EB9"/>
    <w:rsid w:val="008F0187"/>
    <w:rsid w:val="00903B68"/>
    <w:rsid w:val="00982BB5"/>
    <w:rsid w:val="009B49F5"/>
    <w:rsid w:val="00A2353B"/>
    <w:rsid w:val="00A578E7"/>
    <w:rsid w:val="00A63C21"/>
    <w:rsid w:val="00A827F0"/>
    <w:rsid w:val="00AB784F"/>
    <w:rsid w:val="00AE7243"/>
    <w:rsid w:val="00AF0F79"/>
    <w:rsid w:val="00B01D1F"/>
    <w:rsid w:val="00B1596B"/>
    <w:rsid w:val="00B17E1D"/>
    <w:rsid w:val="00B435F0"/>
    <w:rsid w:val="00B66C26"/>
    <w:rsid w:val="00B77564"/>
    <w:rsid w:val="00C36607"/>
    <w:rsid w:val="00C970F0"/>
    <w:rsid w:val="00D373B2"/>
    <w:rsid w:val="00D4196F"/>
    <w:rsid w:val="00D50D72"/>
    <w:rsid w:val="00DA4137"/>
    <w:rsid w:val="00DC33F5"/>
    <w:rsid w:val="00DE1291"/>
    <w:rsid w:val="00E4672D"/>
    <w:rsid w:val="00E66ED4"/>
    <w:rsid w:val="00EC1AE4"/>
    <w:rsid w:val="00ED5B39"/>
    <w:rsid w:val="00ED6F21"/>
    <w:rsid w:val="00EE257F"/>
    <w:rsid w:val="00F11525"/>
    <w:rsid w:val="00F652B8"/>
    <w:rsid w:val="00F84CB6"/>
    <w:rsid w:val="00F908ED"/>
    <w:rsid w:val="06D5426B"/>
    <w:rsid w:val="0AC712C8"/>
    <w:rsid w:val="12810AA0"/>
    <w:rsid w:val="1B332BA7"/>
    <w:rsid w:val="269E64E1"/>
    <w:rsid w:val="326B511D"/>
    <w:rsid w:val="37560980"/>
    <w:rsid w:val="38576BEE"/>
    <w:rsid w:val="396B01C5"/>
    <w:rsid w:val="3BA843A1"/>
    <w:rsid w:val="44E07208"/>
    <w:rsid w:val="451941CE"/>
    <w:rsid w:val="4B1E37FE"/>
    <w:rsid w:val="5AB90B6C"/>
    <w:rsid w:val="5BA9651F"/>
    <w:rsid w:val="5C46647C"/>
    <w:rsid w:val="5E022F71"/>
    <w:rsid w:val="70091C8C"/>
    <w:rsid w:val="726C2A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uiPriority w:val="1"/>
  </w:style>
  <w:style w:type="table" w:default="1" w:styleId="3">
    <w:name w:val="Normal Table"/>
    <w:semiHidden/>
    <w:unhideWhenUsed/>
    <w:uiPriority w:val="99"/>
    <w:tblPr>
      <w:tblLayout w:type="fixed"/>
      <w:tblCellMar>
        <w:top w:w="0" w:type="dxa"/>
        <w:left w:w="108" w:type="dxa"/>
        <w:bottom w:w="0" w:type="dxa"/>
        <w:right w:w="108" w:type="dxa"/>
      </w:tblCellMar>
    </w:tblPr>
  </w:style>
  <w:style w:type="paragraph" w:styleId="2">
    <w:name w:val="header"/>
    <w:basedOn w:val="1"/>
    <w:link w:val="6"/>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List Paragraph"/>
    <w:basedOn w:val="1"/>
    <w:qFormat/>
    <w:uiPriority w:val="34"/>
    <w:pPr>
      <w:ind w:firstLine="420" w:firstLineChars="200"/>
    </w:pPr>
  </w:style>
  <w:style w:type="character" w:customStyle="1" w:styleId="6">
    <w:name w:val="页眉 Char"/>
    <w:basedOn w:val="4"/>
    <w:link w:val="2"/>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323</Words>
  <Characters>1843</Characters>
  <Lines>15</Lines>
  <Paragraphs>4</Paragraphs>
  <TotalTime>8</TotalTime>
  <ScaleCrop>false</ScaleCrop>
  <LinksUpToDate>false</LinksUpToDate>
  <CharactersWithSpaces>2162</CharactersWithSpaces>
  <Application>WPS Office_11.1.0.8696_F1E327BC-269C-435d-A152-05C5408002CA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2023-05-05T09:21:00Z</dcterms:created>
  <dc:creator>apple</dc:creator>
  <cp:lastModifiedBy>Administrator</cp:lastModifiedBy>
  <dcterms:modified xsi:type="dcterms:W3CDTF">2023-05-10T02:13:03Z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