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zh-CN"/>
        </w:rPr>
      </w:pPr>
      <w:bookmarkStart w:id="0" w:name="_Toc15300"/>
      <w:r>
        <w:rPr>
          <w:rFonts w:hint="eastAsia" w:ascii="方正小标宋简体" w:hAnsi="方正小标宋简体" w:eastAsia="方正小标宋简体" w:cs="方正小标宋简体"/>
          <w:b w:val="0"/>
          <w:bCs/>
          <w:lang w:val="zh-CN"/>
        </w:rPr>
        <w:t>技术改造有关政策解读</w:t>
      </w:r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工业和信息化局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技术改造具有技术新、投资省、用地少、见效快、效益好的特点，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是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实现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技术迭代、产品升级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、提高生产效率、推进节能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降碳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的重要途径。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今年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里提出，要继续开展工业技改提级行动，筛选实施1200个重大技改项目，统筹不少于5亿元资金，创新实施技术改造设备奖补、股权投资、技改专项贷等支持政策，引导企业加大技改投入。下面我详细解读一下有关政策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一、技术改造设备奖补。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“十强”产业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重点行业领域，应用新一代信息技术改造建设的智能化工厂、数字化车间以及实施基于工业互联网改造等技术改造项目。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设备、配套软硬件系统的单项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购置费10万元以上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，且总额不低于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(去年要求不低于100万元)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按照投资额不高于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10%的比例给予支持，最高不超过500万元。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项目逐级上报省工信厅后，由省工信厅组织审核并确定资金分配方案。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二、技改专项贷。对纳入省“技改专项贷”项目库的项目，省财政按照银行最新一期的一年期贷款市场报价利率的35%给予贴息支持，单个项目的贴息上限为2000万元，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同一项目申请财政贴息不超过3年。对融资担保公司为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“技改专项贷”项目提供担保且担保费率不超过1%的，省财政按不超过担保金额的0.5%给予补助，单个企业项目担保补助上限为100万元，期限不超过3年。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要求项目总投资5000万元以上的，且贷款性质必须用于项目建设。项目逐级上报省工信厅后，由省工信厅会同财政、税务、人民银行等部门进行联合评审，确定资金分配方案。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股权投资。项目符合产业政策，原则上总投资5000万元以上，企业最近两年平均营业收入不低于1亿元且净利润不低于1000万元，或控股股东为企业法人且控股股东归母净利润不低于5000万元；公司实收资本不低于2000万元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项目逐级上报省工信厅后，由省财政厅委托第三方机构对企业进行尽调，最终研究确定股权投资方案。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以上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企业在建或新开工的技术改造项目，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均须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依法办理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备案、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环保、安全、节能、土地、规划等相关手续。企业未被列入严重失信主体名单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且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符合财政涉企资金“绿色门槛”制度要求。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具体细则以省申报通知为准。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下步市工信局将加大项目储备和建设力度，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谋划实施一批500万元以上技术改造项目，形成“开工一批、竣工一批、储备一批、谋划一批”的梯次推进格局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综合运用调度、督导、服务等手段，帮助企业解决困难问题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全力保障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技改项目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早开工、快建设、早投产，打造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工业经济新的增长点。对有智能化改造需求的项目，分行业组织服务商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开展“一对一”免费诊断活动，为企业智能化改造提供技术支撑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深入研究国家、省关于产业基础再造、智能化改造设备补助、技改专项贷、股权投资基金等政策，主动帮助企业谋划争取国家和省政策资金支持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OWRiNjE0M2YxMmEwMmUwZjNkOGViZjhlNzA5MWQifQ=="/>
  </w:docVars>
  <w:rsids>
    <w:rsidRoot w:val="00000000"/>
    <w:rsid w:val="100B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440" w:leftChars="700" w:right="700" w:rightChars="7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character" w:styleId="8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2023-05-23T03:19:03Z</dcterms:created>
  <dc:creator>叮当猫0313</dc:creator>
  <cp:lastModifiedBy>blue</cp:lastModifiedBy>
  <dcterms:modified xsi:type="dcterms:W3CDTF">2023-05-23T03:20:03Z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A4DBA835FB174D0B923F6552354D33F4_12</vt:lpwstr>
  </property>
</Properties>
</file>