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color w:val="000000" w:themeColor="text1"/>
          <w:spacing w:val="-11"/>
          <w:szCs w:val="44"/>
          <w14:textFill>
            <w14:solidFill>
              <w14:schemeClr w14:val="tx1"/>
            </w14:solidFill>
          </w14:textFill>
        </w:rPr>
      </w:pPr>
      <w:r>
        <w:rPr>
          <w:rFonts w:hint="eastAsia" w:ascii="方正小标宋简体" w:hAnsi="方正小标宋简体" w:eastAsia="方正小标宋简体" w:cs="方正小标宋简体"/>
          <w:sz w:val="44"/>
          <w:szCs w:val="44"/>
          <w:lang w:eastAsia="zh-CN"/>
        </w:rPr>
        <w:t>《</w:t>
      </w:r>
      <w:r>
        <w:rPr>
          <w:rFonts w:hint="eastAsia" w:ascii="方正小标宋简体" w:hAnsi="方正小标宋简体" w:eastAsia="方正小标宋简体" w:cs="方正小标宋简体"/>
          <w:sz w:val="44"/>
          <w:szCs w:val="44"/>
        </w:rPr>
        <w:t>2024年“促进经济巩固向好、加快绿色低碳</w:t>
      </w:r>
      <w:r>
        <w:rPr>
          <w:rFonts w:hint="eastAsia" w:ascii="方正小标宋简体" w:hAnsi="方正小标宋简体" w:eastAsia="方正小标宋简体" w:cs="方正小标宋简体"/>
          <w:sz w:val="44"/>
          <w:szCs w:val="44"/>
          <w:lang w:eastAsia="zh-CN"/>
        </w:rPr>
        <w:t>高质量</w:t>
      </w:r>
      <w:r>
        <w:rPr>
          <w:rFonts w:hint="eastAsia" w:ascii="方正小标宋简体" w:hAnsi="方正小标宋简体" w:eastAsia="方正小标宋简体" w:cs="方正小标宋简体"/>
          <w:sz w:val="44"/>
          <w:szCs w:val="44"/>
        </w:rPr>
        <w:t>发展”政策清单（第</w:t>
      </w:r>
      <w:r>
        <w:rPr>
          <w:rFonts w:hint="eastAsia" w:ascii="方正小标宋简体" w:hAnsi="方正小标宋简体" w:eastAsia="方正小标宋简体" w:cs="方正小标宋简体"/>
          <w:sz w:val="44"/>
          <w:szCs w:val="44"/>
          <w:lang w:eastAsia="zh-CN"/>
        </w:rPr>
        <w:t>二</w:t>
      </w:r>
      <w:r>
        <w:rPr>
          <w:rFonts w:hint="eastAsia" w:ascii="方正小标宋简体" w:hAnsi="方正小标宋简体" w:eastAsia="方正小标宋简体" w:cs="方正小标宋简体"/>
          <w:sz w:val="44"/>
          <w:szCs w:val="44"/>
        </w:rPr>
        <w:t>批）</w:t>
      </w:r>
      <w:r>
        <w:rPr>
          <w:rFonts w:hint="eastAsia" w:ascii="方正小标宋简体" w:hAnsi="方正小标宋简体" w:eastAsia="方正小标宋简体" w:cs="方正小标宋简体"/>
          <w:sz w:val="44"/>
          <w:szCs w:val="44"/>
          <w:lang w:eastAsia="zh-CN"/>
        </w:rPr>
        <w:t>》</w:t>
      </w:r>
      <w:r>
        <w:rPr>
          <w:rFonts w:hint="eastAsia" w:ascii="方正小标宋简体" w:hAnsi="方正小标宋简体" w:eastAsia="方正小标宋简体" w:cs="方正小标宋简体"/>
          <w:sz w:val="44"/>
          <w:szCs w:val="44"/>
        </w:rPr>
        <w:t>政策解读</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eastAsia" w:ascii="Times New Roman" w:hAnsi="Times New Roman" w:eastAsia="楷体_GB2312" w:cs="Times New Roman"/>
          <w:color w:val="000000" w:themeColor="text1"/>
          <w:sz w:val="32"/>
          <w:szCs w:val="32"/>
          <w:lang w:eastAsia="zh-CN"/>
          <w14:textFill>
            <w14:solidFill>
              <w14:schemeClr w14:val="tx1"/>
            </w14:solidFill>
          </w14:textFill>
        </w:rPr>
        <w:t>市</w:t>
      </w: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工业和信息化</w:t>
      </w:r>
      <w:r>
        <w:rPr>
          <w:rFonts w:hint="eastAsia" w:ascii="Times New Roman" w:hAnsi="Times New Roman" w:eastAsia="楷体_GB2312" w:cs="Times New Roman"/>
          <w:color w:val="000000" w:themeColor="text1"/>
          <w:sz w:val="32"/>
          <w:szCs w:val="32"/>
          <w:lang w:val="en-US" w:eastAsia="zh-CN"/>
          <w14:textFill>
            <w14:solidFill>
              <w14:schemeClr w14:val="tx1"/>
            </w14:solidFill>
          </w14:textFill>
        </w:rPr>
        <w:t>局</w:t>
      </w:r>
    </w:p>
    <w:p>
      <w:pPr>
        <w:pStyle w:val="4"/>
        <w:keepNext w:val="0"/>
        <w:keepLines w:val="0"/>
        <w:pageBreakBefore w:val="0"/>
        <w:widowControl w:val="0"/>
        <w:kinsoku/>
        <w:wordWrap/>
        <w:overflowPunct/>
        <w:topLinePunct w:val="0"/>
        <w:autoSpaceDE/>
        <w:autoSpaceDN/>
        <w:bidi w:val="0"/>
        <w:adjustRightInd/>
        <w:snapToGrid/>
        <w:spacing w:after="0" w:line="580" w:lineRule="exact"/>
        <w:ind w:firstLine="210"/>
        <w:textAlignment w:val="auto"/>
        <w:rPr>
          <w:rFonts w:ascii="Times New Roman" w:hAnsi="Times New Roman"/>
          <w:color w:val="0000FF"/>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default" w:ascii="仿宋_GB2312" w:hAnsi="仿宋_GB2312" w:eastAsia="仿宋_GB2312" w:cs="仿宋_GB2312"/>
          <w:kern w:val="2"/>
          <w:sz w:val="32"/>
          <w:szCs w:val="32"/>
          <w:lang w:val="en-US" w:eastAsia="zh-CN" w:bidi="ar-SA"/>
        </w:rPr>
        <w:t>按照会议安排，</w:t>
      </w:r>
      <w:r>
        <w:rPr>
          <w:rFonts w:hint="eastAsia" w:ascii="仿宋_GB2312" w:hAnsi="仿宋_GB2312" w:eastAsia="仿宋_GB2312" w:cs="仿宋_GB2312"/>
          <w:kern w:val="2"/>
          <w:sz w:val="32"/>
          <w:szCs w:val="32"/>
          <w:lang w:val="en-US" w:eastAsia="zh-CN" w:bidi="ar-SA"/>
        </w:rPr>
        <w:t>下面</w:t>
      </w:r>
      <w:r>
        <w:rPr>
          <w:rFonts w:hint="default" w:ascii="仿宋_GB2312" w:hAnsi="仿宋_GB2312" w:eastAsia="仿宋_GB2312" w:cs="仿宋_GB2312"/>
          <w:kern w:val="2"/>
          <w:sz w:val="32"/>
          <w:szCs w:val="32"/>
          <w:lang w:val="en-US" w:eastAsia="zh-CN" w:bidi="ar-SA"/>
        </w:rPr>
        <w:t>向大家介绍《</w:t>
      </w:r>
      <w:r>
        <w:rPr>
          <w:rFonts w:hint="eastAsia" w:ascii="仿宋_GB2312" w:hAnsi="仿宋_GB2312" w:eastAsia="仿宋_GB2312" w:cs="仿宋_GB2312"/>
          <w:kern w:val="2"/>
          <w:sz w:val="32"/>
          <w:szCs w:val="32"/>
          <w:lang w:val="en-US" w:eastAsia="zh-CN" w:bidi="ar-SA"/>
        </w:rPr>
        <w:t>2024年“促进经济巩固向好、加快</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绿色低碳高质量发展”政策清单（第二批）</w:t>
      </w:r>
      <w:r>
        <w:rPr>
          <w:rFonts w:hint="default" w:ascii="仿宋_GB2312" w:hAnsi="仿宋_GB2312" w:eastAsia="仿宋_GB2312" w:cs="仿宋_GB2312"/>
          <w:color w:val="000000" w:themeColor="text1"/>
          <w:kern w:val="2"/>
          <w:sz w:val="32"/>
          <w:szCs w:val="32"/>
          <w:lang w:val="en-US" w:eastAsia="zh-CN" w:bidi="ar-SA"/>
          <w14:textFill>
            <w14:solidFill>
              <w14:schemeClr w14:val="tx1"/>
            </w14:solidFill>
          </w14:textFill>
        </w:rPr>
        <w:t>》</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中涉及工信领域相关政策</w:t>
      </w:r>
      <w:r>
        <w:rPr>
          <w:rFonts w:hint="default" w:ascii="仿宋_GB2312" w:hAnsi="仿宋_GB2312" w:eastAsia="仿宋_GB2312" w:cs="仿宋_GB2312"/>
          <w:color w:val="000000" w:themeColor="text1"/>
          <w:kern w:val="2"/>
          <w:sz w:val="32"/>
          <w:szCs w:val="32"/>
          <w:lang w:val="en-US" w:eastAsia="zh-CN" w:bidi="ar-SA"/>
          <w14:textFill>
            <w14:solidFill>
              <w14:schemeClr w14:val="tx1"/>
            </w14:solidFill>
          </w14:textFill>
        </w:rPr>
        <w:t>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eastAsia="黑体" w:cs="Times New Roman"/>
          <w:color w:val="000000" w:themeColor="text1"/>
          <w:sz w:val="32"/>
          <w:szCs w:val="32"/>
          <w14:textFill>
            <w14:solidFill>
              <w14:schemeClr w14:val="tx1"/>
            </w14:solidFill>
          </w14:textFill>
        </w:rPr>
      </w:pPr>
      <w:r>
        <w:rPr>
          <w:rFonts w:hint="default" w:ascii="Times New Roman" w:hAnsi="Times New Roman" w:eastAsia="黑体" w:cs="Times New Roman"/>
          <w:color w:val="000000" w:themeColor="text1"/>
          <w:sz w:val="32"/>
          <w:szCs w:val="32"/>
          <w14:textFill>
            <w14:solidFill>
              <w14:schemeClr w14:val="tx1"/>
            </w14:solidFill>
          </w14:textFill>
        </w:rPr>
        <w:t>一、</w:t>
      </w:r>
      <w:r>
        <w:rPr>
          <w:rFonts w:hint="eastAsia" w:ascii="Times New Roman" w:hAnsi="Times New Roman" w:eastAsia="黑体" w:cs="Times New Roman"/>
          <w:color w:val="000000" w:themeColor="text1"/>
          <w:sz w:val="32"/>
          <w:szCs w:val="32"/>
          <w:lang w:val="en-US" w:eastAsia="zh-CN"/>
          <w14:textFill>
            <w14:solidFill>
              <w14:schemeClr w14:val="tx1"/>
            </w14:solidFill>
          </w14:textFill>
        </w:rPr>
        <w:t>整体</w:t>
      </w:r>
      <w:r>
        <w:rPr>
          <w:rFonts w:hint="default" w:ascii="Times New Roman" w:hAnsi="Times New Roman" w:eastAsia="黑体" w:cs="Times New Roman"/>
          <w:color w:val="000000" w:themeColor="text1"/>
          <w:sz w:val="32"/>
          <w:szCs w:val="32"/>
          <w14:textFill>
            <w14:solidFill>
              <w14:schemeClr w14:val="tx1"/>
            </w14:solidFill>
          </w14:textFill>
        </w:rPr>
        <w:t>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2024年省级（促进经济巩固向好、加快绿色低碳高质量发展）第二批政策清单中涉及工信领域的政策措施共有3条，分别为第一条（传统行业纳入技改设备奖补）、第十三条（实施股权投资支持重点行业技术改造）、第十四条（首台套技术装备保费补贴）。</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黑体" w:cs="Times New Roman"/>
          <w:color w:val="000000" w:themeColor="text1"/>
          <w:sz w:val="32"/>
          <w:szCs w:val="32"/>
          <w:lang w:val="en-US" w:eastAsia="zh-CN"/>
          <w14:textFill>
            <w14:solidFill>
              <w14:schemeClr w14:val="tx1"/>
            </w14:solidFill>
          </w14:textFill>
        </w:rPr>
      </w:pPr>
      <w:r>
        <w:rPr>
          <w:rFonts w:hint="eastAsia" w:ascii="Times New Roman" w:hAnsi="Times New Roman" w:eastAsia="黑体" w:cs="Times New Roman"/>
          <w:color w:val="000000" w:themeColor="text1"/>
          <w:sz w:val="32"/>
          <w:szCs w:val="32"/>
          <w:lang w:val="en-US" w:eastAsia="zh-CN"/>
          <w14:textFill>
            <w14:solidFill>
              <w14:schemeClr w14:val="tx1"/>
            </w14:solidFill>
          </w14:textFill>
        </w:rPr>
        <w:t>二、政策解读</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b/>
          <w:bCs/>
          <w:kern w:val="2"/>
          <w:sz w:val="32"/>
          <w:szCs w:val="32"/>
          <w:lang w:val="en-US" w:eastAsia="zh-CN" w:bidi="ar-SA"/>
        </w:rPr>
      </w:pPr>
      <w:r>
        <w:rPr>
          <w:rFonts w:hint="eastAsia" w:ascii="仿宋_GB2312" w:hAnsi="仿宋_GB2312" w:eastAsia="仿宋_GB2312" w:cs="仿宋_GB2312"/>
          <w:b/>
          <w:bCs/>
          <w:kern w:val="2"/>
          <w:sz w:val="32"/>
          <w:szCs w:val="32"/>
          <w:lang w:val="en-US" w:eastAsia="zh-CN" w:bidi="ar-SA"/>
        </w:rPr>
        <w:t>1.将钢铁、有色、石化、机械、轻纺等重点行业生产设备、用能设备、发输配电设备等更新改造，纳入技术改造设备奖补政策支持范围，对相应设备购置费用（单项设备购置费用10万元以上，且总额不低于1000万元），按最高不超过10%的比例，单户企业最高支持500万元。（牵头单位：省工业和信息化厅、省财政厅）</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b/>
          <w:bCs/>
          <w:kern w:val="2"/>
          <w:sz w:val="32"/>
          <w:szCs w:val="32"/>
          <w:lang w:val="en-US" w:eastAsia="zh-CN" w:bidi="ar-SA"/>
        </w:rPr>
      </w:pPr>
      <w:r>
        <w:rPr>
          <w:rFonts w:hint="eastAsia" w:ascii="仿宋_GB2312" w:hAnsi="仿宋_GB2312" w:eastAsia="仿宋_GB2312" w:cs="仿宋_GB2312"/>
          <w:b/>
          <w:bCs/>
          <w:kern w:val="2"/>
          <w:sz w:val="32"/>
          <w:szCs w:val="32"/>
          <w:lang w:val="en-US" w:eastAsia="zh-CN" w:bidi="ar-SA"/>
        </w:rPr>
        <w:t>政策解读：</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大规模设备更新，工业领域是主战场。尤其是钢铁、有色、石化、机械、轻纺等传统产业，改造升级的空间广、场景多、潜力足。为此，省里以传统产业为突破口，鼓励开展生产设备、用能设备、配电设备等更新改造，依据企业设备购置额度，按照最高不超过10%的比例，给予最多500万元支持。2021年以来，我市有72个项目获得省技改设备奖补资金4600多万元，对于企业实施技术改造加快设备更新发挥了积极的促进作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经了解，目前省工信厅正在配合省财政厅研究起草《省级技术改造资金管理办法和实施细则》。待管理办法、实施细则和申报通知印发后，我们将根据省里要求组织开展项目申报工作。</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b/>
          <w:bCs/>
          <w:kern w:val="2"/>
          <w:sz w:val="32"/>
          <w:szCs w:val="32"/>
          <w:lang w:val="en-US" w:eastAsia="zh-CN" w:bidi="ar-SA"/>
        </w:rPr>
      </w:pPr>
      <w:r>
        <w:rPr>
          <w:rFonts w:hint="eastAsia" w:ascii="仿宋_GB2312" w:hAnsi="仿宋_GB2312" w:eastAsia="仿宋_GB2312" w:cs="仿宋_GB2312"/>
          <w:b/>
          <w:bCs/>
          <w:kern w:val="2"/>
          <w:sz w:val="32"/>
          <w:szCs w:val="32"/>
          <w:lang w:val="en-US" w:eastAsia="zh-CN" w:bidi="ar-SA"/>
        </w:rPr>
        <w:t>13.实施财政资金股权投资支持重点行业高水平技术改造，省级安排2.65亿元，重点投向承担省重点技术改造项目、工业互联网建设应用项目、数字经济重点项目等符合条件的企业。股权投资参股比例原则上不超过被投资企业总股本的25%，投资期限一般为3-5年。投资期内，对被投资企业成长为国家级单项冠军企业、专精特新“小巨人”企业、双跨或特色专业型平台，省级单项冠军企业、“瞪羚”企业、“独角兽”企业、“专精特新”企业，以及提前退出时间达1年以上（含）的，给予投资收益的30%-50％让利奖励。（牵头单位：省工业和信息化厅、省财政厅）</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b/>
          <w:bCs/>
          <w:kern w:val="2"/>
          <w:sz w:val="32"/>
          <w:szCs w:val="32"/>
          <w:lang w:val="en-US" w:eastAsia="zh-CN" w:bidi="ar-SA"/>
        </w:rPr>
      </w:pPr>
      <w:r>
        <w:rPr>
          <w:rFonts w:hint="eastAsia" w:ascii="仿宋_GB2312" w:hAnsi="仿宋_GB2312" w:eastAsia="仿宋_GB2312" w:cs="仿宋_GB2312"/>
          <w:b/>
          <w:bCs/>
          <w:kern w:val="2"/>
          <w:sz w:val="32"/>
          <w:szCs w:val="32"/>
          <w:lang w:val="en-US" w:eastAsia="zh-CN" w:bidi="ar-SA"/>
        </w:rPr>
        <w:t>政策解读：</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近年来，为深化财政体制改革，拓宽企业融资渠道，省里创新实施了财政资金股权投资工作，支持重点行业高水平技术改造项目建设。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该项政策适用于省级工业和信息化领域实施的企业技术改造股权投资、工业互联网股权投资、“专精特新”企业（含国家级专精特新“小巨人”、制造业单项冠军企业，省级“专精特新”、制造业单项冠军和瞪羚、独角兽企业）股权投资等投向市场主体的股权投资，投资期限一般为3-5年。</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主要申报条件为：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1）申报企业应注册于山东省内且连续经营2年以上且无不良信用记录。（2）最近两年平均营业收入不低于1亿元并处于盈利状态，公司实收资本不低于2000万元。（3）开展的项目为技术改造项目的，须在当年或往年的《山东省企业技术改造重点项目导向目录》中。（4）在建项目须符合有关产业政策，项目各类手续（核准、备案、用地、规划、环评、节能审查等）符合有关规定，总投资在5000万元以上。5.每个独立法人企业只能申报1个项目，已获得其他省级财政资金支持的项目不得重复申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省工信厅已于5月27日下发了《关于申报2024年省级工业和信息化领域财政资金股权投资项目的通知》，目前此项工作已经启动，请各区市积极组织符合条件的企业申报，全力争取省级股权投资支持。</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b/>
          <w:bCs/>
          <w:kern w:val="2"/>
          <w:sz w:val="32"/>
          <w:szCs w:val="32"/>
          <w:lang w:val="en-US" w:eastAsia="zh-CN" w:bidi="ar-SA"/>
        </w:rPr>
      </w:pPr>
      <w:r>
        <w:rPr>
          <w:rFonts w:hint="eastAsia" w:ascii="仿宋_GB2312" w:hAnsi="仿宋_GB2312" w:eastAsia="仿宋_GB2312" w:cs="仿宋_GB2312"/>
          <w:b/>
          <w:bCs/>
          <w:kern w:val="2"/>
          <w:sz w:val="32"/>
          <w:szCs w:val="32"/>
          <w:lang w:val="en-US" w:eastAsia="zh-CN" w:bidi="ar-SA"/>
        </w:rPr>
        <w:t>14.结合重点行业领域大规模设备更新，支持创新产品推广应用，对已经取得研发突破、具备生产能力、正处市场推广期的首台（套）技术装备，生产企业为其购买符合条件的保险，省财政按照不超过3%的费率上限及企业实际投保额的80%，给予单个企业最高500万元保费补贴。（牵头单位：省工业和信息化厅、省财政厅）</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b/>
          <w:bCs/>
          <w:kern w:val="2"/>
          <w:sz w:val="32"/>
          <w:szCs w:val="32"/>
          <w:lang w:val="en-US" w:eastAsia="zh-CN" w:bidi="ar-SA"/>
        </w:rPr>
      </w:pPr>
      <w:r>
        <w:rPr>
          <w:rFonts w:hint="eastAsia" w:ascii="仿宋_GB2312" w:hAnsi="仿宋_GB2312" w:eastAsia="仿宋_GB2312" w:cs="仿宋_GB2312"/>
          <w:b/>
          <w:bCs/>
          <w:kern w:val="2"/>
          <w:sz w:val="32"/>
          <w:szCs w:val="32"/>
          <w:lang w:val="en-US" w:eastAsia="zh-CN" w:bidi="ar-SA"/>
        </w:rPr>
        <w:t>政策解读：</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b/>
          <w:bCs/>
          <w:kern w:val="2"/>
          <w:sz w:val="32"/>
          <w:szCs w:val="32"/>
          <w:lang w:val="en-US" w:eastAsia="zh-CN" w:bidi="ar-SA"/>
        </w:rPr>
        <w:t>首台（套）技术装备</w:t>
      </w:r>
      <w:r>
        <w:rPr>
          <w:rFonts w:hint="eastAsia" w:ascii="仿宋_GB2312" w:hAnsi="仿宋_GB2312" w:eastAsia="仿宋_GB2312" w:cs="仿宋_GB2312"/>
          <w:kern w:val="2"/>
          <w:sz w:val="32"/>
          <w:szCs w:val="32"/>
          <w:lang w:val="en-US" w:eastAsia="zh-CN" w:bidi="ar-SA"/>
        </w:rPr>
        <w:t>是指经过原始创新、集成创新或引进技术消化吸收再创新，在国内率先实现原理、结构、性能等方面的重大创新，具有显著节能、节材和环保等特征，并拥有自主知识产权的成套或单机装备产品。</w:t>
      </w:r>
      <w:r>
        <w:rPr>
          <w:rFonts w:hint="eastAsia" w:ascii="仿宋_GB2312" w:hAnsi="仿宋_GB2312" w:eastAsia="仿宋_GB2312" w:cs="仿宋_GB2312"/>
          <w:b/>
          <w:bCs/>
          <w:kern w:val="2"/>
          <w:sz w:val="32"/>
          <w:szCs w:val="32"/>
          <w:lang w:val="en-US" w:eastAsia="zh-CN" w:bidi="ar-SA"/>
        </w:rPr>
        <w:t>关键核心零部件</w:t>
      </w:r>
      <w:r>
        <w:rPr>
          <w:rFonts w:hint="eastAsia" w:ascii="仿宋_GB2312" w:hAnsi="仿宋_GB2312" w:eastAsia="仿宋_GB2312" w:cs="仿宋_GB2312"/>
          <w:kern w:val="2"/>
          <w:sz w:val="32"/>
          <w:szCs w:val="32"/>
          <w:lang w:val="en-US" w:eastAsia="zh-CN" w:bidi="ar-SA"/>
        </w:rPr>
        <w:t>是指列入国家重大专项及重大工程等国家级项目的核心部件产品，及其他可替代进口的关键零部件产品。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对生产《山东省首台（套）技术装备及关键核心零部件推广应用指导目录》内产品的企业，为其目录内的产品投保重大技术装备首台（套）质量险、责任险、综合险，并在投保时限内实现销售，累计保费满20万元，交付用户且保单正式生效，省财政按不高于3%的费率及实际投保年度保费的80%对生产企业给予补贴，单户企业年度最高补贴500万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下一步，市工信局将加强与省工信厅沟通对接，及时了解掌握最新政策情况，各区市要积极配合做好首台（套）装备产品的推荐申报工作，推动首台套技术装备产品推广应用。</w:t>
      </w:r>
    </w:p>
    <w:p>
      <w:bookmarkStart w:id="0" w:name="_GoBack"/>
      <w:bookmarkEnd w:id="0"/>
    </w:p>
    <w:sectPr>
      <w:pgSz w:w="11906" w:h="16838"/>
      <w:pgMar w:top="1871" w:right="1474" w:bottom="1701"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Q5OWRiNjE0M2YxMmEwMmUwZjNkOGViZjhlNzA5MWQifQ=="/>
  </w:docVars>
  <w:rsids>
    <w:rsidRoot w:val="00000000"/>
    <w:rsid w:val="4C9729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99"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toc 1"/>
    <w:basedOn w:val="1"/>
    <w:next w:val="1"/>
    <w:qFormat/>
    <w:uiPriority w:val="39"/>
    <w:pPr>
      <w:widowControl/>
      <w:spacing w:beforeLines="50" w:afterLines="50"/>
      <w:ind w:hanging="200" w:hangingChars="200"/>
    </w:pPr>
  </w:style>
  <w:style w:type="paragraph" w:styleId="3">
    <w:name w:val="Body Text"/>
    <w:basedOn w:val="1"/>
    <w:next w:val="1"/>
    <w:qFormat/>
    <w:uiPriority w:val="0"/>
    <w:pPr>
      <w:suppressAutoHyphens/>
      <w:spacing w:after="140" w:line="276" w:lineRule="auto"/>
    </w:pPr>
    <w:rPr>
      <w:rFonts w:ascii="Calibri" w:hAnsi="Calibri" w:eastAsia="宋体" w:cs="Times New Roman"/>
    </w:rPr>
  </w:style>
  <w:style w:type="paragraph" w:styleId="4">
    <w:name w:val="Body Text First Indent"/>
    <w:basedOn w:val="3"/>
    <w:next w:val="1"/>
    <w:qFormat/>
    <w:uiPriority w:val="99"/>
    <w:pPr>
      <w:ind w:firstLine="420" w:firstLineChars="1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2024-06-06T02:08:09Z</dcterms:created>
  <dc:creator>叮当猫0313</dc:creator>
  <cp:lastModifiedBy>blue</cp:lastModifiedBy>
  <dcterms:modified xsi:type="dcterms:W3CDTF">2024-06-06T02:08:36Z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32A653208E824A0A985447831E49249E_12</vt:lpwstr>
  </property>
</Properties>
</file>