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pacing w:val="-11"/>
          <w:szCs w:val="44"/>
          <w14:textFill>
            <w14:solidFill>
              <w14:schemeClr w14:val="tx1"/>
            </w14:solidFill>
          </w14:textFill>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2024年“促进经济巩固向好、加快绿色低碳</w:t>
      </w:r>
      <w:r>
        <w:rPr>
          <w:rFonts w:hint="eastAsia" w:ascii="方正小标宋简体" w:hAnsi="方正小标宋简体" w:eastAsia="方正小标宋简体" w:cs="方正小标宋简体"/>
          <w:sz w:val="44"/>
          <w:szCs w:val="44"/>
          <w:lang w:eastAsia="zh-CN"/>
        </w:rPr>
        <w:t>高质量</w:t>
      </w:r>
      <w:r>
        <w:rPr>
          <w:rFonts w:hint="eastAsia" w:ascii="方正小标宋简体" w:hAnsi="方正小标宋简体" w:eastAsia="方正小标宋简体" w:cs="方正小标宋简体"/>
          <w:sz w:val="44"/>
          <w:szCs w:val="44"/>
        </w:rPr>
        <w:t>发展”政策清单（第</w:t>
      </w:r>
      <w:r>
        <w:rPr>
          <w:rFonts w:hint="eastAsia" w:ascii="方正小标宋简体" w:hAnsi="方正小标宋简体" w:eastAsia="方正小标宋简体" w:cs="方正小标宋简体"/>
          <w:sz w:val="44"/>
          <w:szCs w:val="44"/>
          <w:lang w:eastAsia="zh-CN"/>
        </w:rPr>
        <w:t>二</w:t>
      </w:r>
      <w:r>
        <w:rPr>
          <w:rFonts w:hint="eastAsia" w:ascii="方正小标宋简体" w:hAnsi="方正小标宋简体" w:eastAsia="方正小标宋简体" w:cs="方正小标宋简体"/>
          <w:sz w:val="44"/>
          <w:szCs w:val="44"/>
        </w:rPr>
        <w:t>批）</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政策解读</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楷体_GB2312" w:cs="Times New Roman"/>
          <w:color w:val="000000" w:themeColor="text1"/>
          <w:sz w:val="32"/>
          <w:szCs w:val="32"/>
          <w:lang w:eastAsia="zh-CN"/>
          <w14:textFill>
            <w14:solidFill>
              <w14:schemeClr w14:val="tx1"/>
            </w14:solidFill>
          </w14:textFill>
        </w:rPr>
        <w:t>市</w:t>
      </w: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工业和信息化</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局</w:t>
      </w:r>
    </w:p>
    <w:p>
      <w:pPr>
        <w:pStyle w:val="4"/>
        <w:keepNext w:val="0"/>
        <w:keepLines w:val="0"/>
        <w:pageBreakBefore w:val="0"/>
        <w:widowControl w:val="0"/>
        <w:kinsoku/>
        <w:wordWrap/>
        <w:overflowPunct/>
        <w:topLinePunct w:val="0"/>
        <w:autoSpaceDE/>
        <w:autoSpaceDN/>
        <w:bidi w:val="0"/>
        <w:adjustRightInd/>
        <w:snapToGrid/>
        <w:spacing w:after="0" w:line="580" w:lineRule="exact"/>
        <w:ind w:firstLine="210"/>
        <w:textAlignment w:val="auto"/>
        <w:rPr>
          <w:rFonts w:ascii="Times New Roman" w:hAnsi="Times New Roman"/>
          <w:color w:val="0000FF"/>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kern w:val="2"/>
          <w:sz w:val="32"/>
          <w:szCs w:val="32"/>
          <w:lang w:val="en-US" w:eastAsia="zh-CN" w:bidi="ar-SA"/>
        </w:rPr>
        <w:t>按照会议安排，</w:t>
      </w:r>
      <w:r>
        <w:rPr>
          <w:rFonts w:hint="eastAsia" w:ascii="仿宋_GB2312" w:hAnsi="仿宋_GB2312" w:eastAsia="仿宋_GB2312" w:cs="仿宋_GB2312"/>
          <w:kern w:val="2"/>
          <w:sz w:val="32"/>
          <w:szCs w:val="32"/>
          <w:lang w:val="en-US" w:eastAsia="zh-CN" w:bidi="ar-SA"/>
        </w:rPr>
        <w:t>下面</w:t>
      </w:r>
      <w:r>
        <w:rPr>
          <w:rFonts w:hint="default" w:ascii="仿宋_GB2312" w:hAnsi="仿宋_GB2312" w:eastAsia="仿宋_GB2312" w:cs="仿宋_GB2312"/>
          <w:kern w:val="2"/>
          <w:sz w:val="32"/>
          <w:szCs w:val="32"/>
          <w:lang w:val="en-US" w:eastAsia="zh-CN" w:bidi="ar-SA"/>
        </w:rPr>
        <w:t>向大家介绍《</w:t>
      </w:r>
      <w:r>
        <w:rPr>
          <w:rFonts w:hint="eastAsia" w:ascii="仿宋_GB2312" w:hAnsi="仿宋_GB2312" w:eastAsia="仿宋_GB2312" w:cs="仿宋_GB2312"/>
          <w:kern w:val="2"/>
          <w:sz w:val="32"/>
          <w:szCs w:val="32"/>
          <w:lang w:val="en-US" w:eastAsia="zh-CN" w:bidi="ar-SA"/>
        </w:rPr>
        <w:t>2024年“促进经济巩固向好、加快</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绿色低碳高质量发展”政策清单（第二批）</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中涉及工信领域相关政策</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一、</w:t>
      </w:r>
      <w:r>
        <w:rPr>
          <w:rFonts w:hint="eastAsia" w:ascii="Times New Roman" w:hAnsi="Times New Roman" w:eastAsia="黑体" w:cs="Times New Roman"/>
          <w:color w:val="000000" w:themeColor="text1"/>
          <w:sz w:val="32"/>
          <w:szCs w:val="32"/>
          <w:lang w:val="en-US" w:eastAsia="zh-CN"/>
          <w14:textFill>
            <w14:solidFill>
              <w14:schemeClr w14:val="tx1"/>
            </w14:solidFill>
          </w14:textFill>
        </w:rPr>
        <w:t>整体</w:t>
      </w:r>
      <w:r>
        <w:rPr>
          <w:rFonts w:hint="default" w:ascii="Times New Roman" w:hAnsi="Times New Roman" w:eastAsia="黑体" w:cs="Times New Roman"/>
          <w:color w:val="000000" w:themeColor="text1"/>
          <w:sz w:val="32"/>
          <w:szCs w:val="32"/>
          <w14:textFill>
            <w14:solidFill>
              <w14:schemeClr w14:val="tx1"/>
            </w14:solidFill>
          </w14:textFill>
        </w:rPr>
        <w:t>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省级（促进经济巩固向好、加快绿色低碳高质量发展）第二批政策清单中涉及工信领域的政策措施共有3条，分别为第一条（传统行业纳入技改设备奖补）、第十三条（实施股权投资支持重点行业技术改造）、第十四条（首台套技术装备保费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color w:val="000000" w:themeColor="text1"/>
          <w:sz w:val="32"/>
          <w:szCs w:val="32"/>
          <w:lang w:val="en-US" w:eastAsia="zh-CN"/>
          <w14:textFill>
            <w14:solidFill>
              <w14:schemeClr w14:val="tx1"/>
            </w14:solidFill>
          </w14:textFill>
        </w:rPr>
      </w:pPr>
      <w:r>
        <w:rPr>
          <w:rFonts w:hint="eastAsia" w:ascii="Times New Roman" w:hAnsi="Times New Roman" w:eastAsia="黑体" w:cs="Times New Roman"/>
          <w:color w:val="000000" w:themeColor="text1"/>
          <w:sz w:val="32"/>
          <w:szCs w:val="32"/>
          <w:lang w:val="en-US" w:eastAsia="zh-CN"/>
          <w14:textFill>
            <w14:solidFill>
              <w14:schemeClr w14:val="tx1"/>
            </w14:solidFill>
          </w14:textFill>
        </w:rPr>
        <w:t>二、政策解读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将钢铁、有色、石化、机械、轻纺等重点行业生产设备、用能设备、发输配电设备等更新改造，纳入技术改造设备奖补政策支持范围，对相应设备购置费用（单项设备购置费用10万元以上，且总额不低于1000万元），按最高不超过10%的比例，单户企业最高支持500万元。（牵头单位：省工业和信息化厅、省财政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政策解读：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大规模设备更新，工业领域是主战场。尤其是钢铁、有色、石化、机械、轻纺等传统产业，改造升级的空间广、场景多、潜力足。为此，省里以传统产业为突破口，鼓励开展生产设备、用能设备、配电设备等更新改造，依据企业设备购置额度，按照最高不超过10%的比例，给予最多500万元支持。2021年以来，我市有72个项目获得省技改设备奖补资金4600多万元，对于企业实施技术改造加快设备更新发挥了积极的促进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经了解，目前省工信厅正在配合省财政厅研究起草《省级技术改造资金管理办法和实施细则》。待管理办法、实施细则和申报通知印发后，我们将根据省里要求组织开展项目申报工作。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13.实施财政资金股权投资支持重点行业高水平技术改造，省级安排2.65亿元，重点投向承担省重点技术改造项目、工业互联网建设应用项目、数字经济重点项目等符合条件的企业。股权投资参股比例原则上不超过被投资企业总股本的25%，投资期限一般为3-5年。投资期内，对被投资企业成长为国家级单项冠军企业、专精特新“小巨人”企业、双跨或特色专业型平台，省级单项冠军企业、“瞪羚”企业、“独角兽”企业、“专精特新”企业，以及提前退出时间达1年以上（含）的，给予投资收益的30%-50％让利奖励。（牵头单位：省工业和信息化厅、省财政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政策解读：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近年来，为深化财政体制改革，拓宽企业融资渠道，省里创新实施了财政资金股权投资工作，支持重点行业高水平技术改造项目建设。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该项政策适用于省级工业和信息化领域实施的企业技术改造股权投资、工业互联网股权投资、“专精特新”企业（含国家级专精特新“小巨人”、制造业单项冠军企业，省级“专精特新”、制造业单项冠军和瞪羚、独角兽企业）股权投资等投向市场主体的股权投资，投资期限一般为3-5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主要申报条件为：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申报企业应注册于山东省内且连续经营2年以上且无不良信用记录。（2）最近两年平均营业收入不低于1亿元并处于盈利状态，公司实收资本不低于2000万元。（3）开展的项目为技术改造项目的，须在当年或往年的《山东省企业技术改造重点项目导向目录》中。（4）在建项目须符合有关产业政策，项目各类手续（核准、备案、用地、规划、环评、节能审查等）符合有关规定，总投资在5000万元以上。5.每个独立法人企业只能申报1个项目，已获得其他省级财政资金支持的项目不得重复申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省工信厅已于5月27日下发了《关于申报2024年省级工业和信息化领域财政资金股权投资项目的通知》，目前此项工作已经启动，请各区市积极组织符合条件的企业申报，全力争取省级股权投资支持。</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14.结合重点行业领域大规模设备更新，支持创新产品推广应用，对已经取得研发突破、具备生产能力、正处市场推广期的首台（套）技术装备，生产企业为其购买符合条件的保险，省财政按照不超过3%的费率上限及企业实际投保额的80%，给予单个企业最高500万元保费补贴。（牵头单位：省工业和信息化厅、省财政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政策解读：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首台（套）技术装备</w:t>
      </w:r>
      <w:r>
        <w:rPr>
          <w:rFonts w:hint="eastAsia" w:ascii="仿宋_GB2312" w:hAnsi="仿宋_GB2312" w:eastAsia="仿宋_GB2312" w:cs="仿宋_GB2312"/>
          <w:kern w:val="2"/>
          <w:sz w:val="32"/>
          <w:szCs w:val="32"/>
          <w:lang w:val="en-US" w:eastAsia="zh-CN" w:bidi="ar-SA"/>
        </w:rPr>
        <w:t>是指经过原始创新、集成创新或引进技术消化吸收再创新，在国内率先实现原理、结构、性能等方面的重大创新，具有显著节能、节材和环保等特征，并拥有自主知识产权的成套或单机装备产品。</w:t>
      </w:r>
      <w:r>
        <w:rPr>
          <w:rFonts w:hint="eastAsia" w:ascii="仿宋_GB2312" w:hAnsi="仿宋_GB2312" w:eastAsia="仿宋_GB2312" w:cs="仿宋_GB2312"/>
          <w:b/>
          <w:bCs/>
          <w:kern w:val="2"/>
          <w:sz w:val="32"/>
          <w:szCs w:val="32"/>
          <w:lang w:val="en-US" w:eastAsia="zh-CN" w:bidi="ar-SA"/>
        </w:rPr>
        <w:t>关键核心零部件</w:t>
      </w:r>
      <w:r>
        <w:rPr>
          <w:rFonts w:hint="eastAsia" w:ascii="仿宋_GB2312" w:hAnsi="仿宋_GB2312" w:eastAsia="仿宋_GB2312" w:cs="仿宋_GB2312"/>
          <w:kern w:val="2"/>
          <w:sz w:val="32"/>
          <w:szCs w:val="32"/>
          <w:lang w:val="en-US" w:eastAsia="zh-CN" w:bidi="ar-SA"/>
        </w:rPr>
        <w:t>是指列入国家重大专项及重大工程等国家级项目的核心部件产品，及其他可替代进口的关键零部件产品。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对生产《山东省首台（套）技术装备及关键核心零部件推广应用指导目录》内产品的企业，为其目录内的产品投保重大技术装备首台（套）质量险、责任险、综合险，并在投保时限内实现销售，累计保费满20万元，交付用户且保单正式生效，省财政按不高于3%的费率及实际投保年度保费的80%对生产企业给予补贴，单户企业年度最高补贴500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下一步，市工信局将加强与省工信厅沟通对接，及时了解掌握最新政策情况，各区市要积极配合做好首台（套）装备产品的推荐申报工作，推动首台套技术装备产品推广应用。</w:t>
      </w:r>
    </w:p>
    <w:p>
      <w:bookmarkStart w:id="0" w:name="_GoBack"/>
      <w:bookmarkEnd w:id="0"/>
    </w:p>
    <w:sectPr>
      <w:pgSz w:w="11906" w:h="16838"/>
      <w:pgMar w:top="1871"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5OWRiNjE0M2YxMmEwMmUwZjNkOGViZjhlNzA5MWQifQ=="/>
  </w:docVars>
  <w:rsids>
    <w:rsidRoot w:val="00000000"/>
    <w:rsid w:val="4C972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oc 1"/>
    <w:basedOn w:val="1"/>
    <w:next w:val="1"/>
    <w:qFormat/>
    <w:uiPriority w:val="39"/>
    <w:pPr>
      <w:widowControl/>
      <w:spacing w:beforeLines="50" w:afterLines="50"/>
      <w:ind w:hanging="200" w:hangingChars="200"/>
    </w:pPr>
  </w:style>
  <w:style w:type="paragraph" w:styleId="3">
    <w:name w:val="Body Text"/>
    <w:basedOn w:val="1"/>
    <w:next w:val="1"/>
    <w:qFormat/>
    <w:uiPriority w:val="0"/>
    <w:pPr>
      <w:suppressAutoHyphens/>
      <w:spacing w:after="140" w:line="276" w:lineRule="auto"/>
    </w:pPr>
    <w:rPr>
      <w:rFonts w:ascii="Calibri" w:hAnsi="Calibri" w:eastAsia="宋体" w:cs="Times New Roman"/>
    </w:rPr>
  </w:style>
  <w:style w:type="paragraph" w:styleId="4">
    <w:name w:val="Body Text First Indent"/>
    <w:basedOn w:val="3"/>
    <w:next w:val="1"/>
    <w:qFormat/>
    <w:uiPriority w:val="99"/>
    <w:pPr>
      <w:ind w:firstLine="420" w:firstLineChars="1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2024-06-06T02:08:09Z</dcterms:created>
  <dc:creator>叮当猫0313</dc:creator>
  <cp:lastModifiedBy>blue</cp:lastModifiedBy>
  <dcterms:modified xsi:type="dcterms:W3CDTF">2024-06-06T02:08:36Z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32A653208E824A0A985447831E49249E_12</vt:lpwstr>
  </property>
</Properties>
</file>